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WAT</w:t>
      </w:r>
      <w:r>
        <w:rPr>
          <w:rFonts w:ascii="Calibri" w:hAnsi="Calibri"/>
          <w:b/>
          <w:color w:val="1A2010"/>
          <w:sz w:val="40"/>
        </w:rPr>
        <w:t xml:space="preserve">  Waters Corporation</w:t>
      </w:r>
    </w:p>
    <w:p>
      <w:pPr>
        <w:spacing w:after="120"/>
      </w:pPr>
      <w:r>
        <w:rPr>
          <w:rFonts w:ascii="Calibri" w:hAnsi="Calibri"/>
          <w:b/>
          <w:color w:val="6E8450"/>
          <w:sz w:val="18"/>
        </w:rPr>
        <w:t>GROWTH SLEEVE · 2026-08-08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NYSE · United States</w:t>
      </w:r>
    </w:p>
    <w:p>
      <w:pPr>
        <w:spacing w:after="80"/>
      </w:pPr>
      <w:r>
        <w:rPr>
          <w:rFonts w:ascii="Calibri" w:hAnsi="Calibri"/>
          <w:b w:val="0"/>
          <w:color w:val="3A4A28"/>
          <w:sz w:val="20"/>
        </w:rPr>
        <w:t>Waters Corporation designs, manufactures, and sells analytical instruments including liquid chromatography (HPLC/UPLC), mass spectrometry, and thermal analysis systems used in pharmaceutical R&amp;D, quality control, food safety, and environmental monitoring. The company recently transformed its scale through the acquisition of BD's Biosciences and Diagnostic Solutions businesses, roughly doubling revenue to an approximately $6.4B run-rate. Headquartered in Milford, Massachusetts, Waters has pioneered separations science for over 50 years and operates globally.</w:t>
      </w:r>
    </w:p>
    <w:p>
      <w:r>
        <w:rPr>
          <w:rFonts w:ascii="Calibri" w:hAnsi="Calibri"/>
          <w:b/>
          <w:color w:val="6E8450"/>
          <w:sz w:val="18"/>
        </w:rPr>
        <w:t>8,200 Employees · https://www.waters.com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Udit Batra (since 2020), Waters completed the transformative acquisition of BD's Biosciences and Diagnostic Solutions businesses, roughly doubling company revenue from approximately $3.1B organic to a $6.4B+ guided run-rate [1]. This acquisition fundamentally reshaped Waters from a chromatography/mass spec specialist into a broad life sciences tools platform spanning flow cytometry, clinical diagnostics, and analytical instruments. Batra's 'indomitable spirit' transformation program reinvigorated the product pipeline [3]. AI Deployment (0/2): No specific evidence of AI-powered products shipping to customers or quantified AI-driven cost savings. Waters' Empower chromatography data software and informatics platforms likely incorporate some data analytics capabilities, but no AI-specific revenue has been disclosed [2]. Market Share (2/2): Waters holds an estimated 35-40% global market share in HPLC/UPLC, making it the clear category leader in liquid chromatography. The BD acquisition added leadership positions in flow cytometry and clinical diagnostics, substantially broadening the company's addressable market [1]. Product Pipeline (1/2): FY2026 guidance of 7-9% organic constant-currency revenue growth with Q3 guidance accelerating to 8-10% implies strong product-cycle execution. The acquired BD businesses are accelerating to mid-single-digit growth, validating the pipeline [1]. R&amp;D Intensity (1/1): Waters has historically invested 7-8% of revenue in R&amp;D, at or above peer averages in the life science tools sector, supporting its position as the technology leader in analytical instrumentation.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Waters has 'pioneered separations science for over 50 years,' and CEO Batra's transformation vision centers on rediscovering the company's 'indomitable spirit' through 'logic and love' — a leadership philosophy emphasizing organizational alignment paired with genuine care for teams [3]. The purpose connects to enabling scientific breakthroughs in drug discovery, food safety, and environmental protection. Clear and thoughtful but not yet validated through multi-decade consistency under the current vision. Community Impact (0/2): Standard ESG reporting with DJSI North America Index inclusion, 5% YoY Scope 1+2 GHG emission reduction, and 6% water consumption decrease [4]. No evidence of distinctive charitable foundation, community programs, or philanthropy beyond typical corporate sustainability efforts. Employee Retention (1/2): Mixed Glassdoor sentiment — some employees praise the innovation culture as genuine ('innovation is not just a buzzword, the company continuously evolves') and describe approachable leadership, while others report that 'the CEO does not put people first' and 'morale is at an all-time low' [5]. The transformation under Batra appears to have created uneven employee experience. Insider Buying (0/2): No evidence of meaningful net insider buying by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GAAP financials are heavily distorted by the BD acquisition completed in 2025: $5.09B in acquisition-related debt drives the balance sheet, while amortization of acquired intangibles depresses GAAP profit margin to 3.59% and ROE to 1.92% — far below the company's pre-acquisition profile of approximately 22% profit margin and 40%+ ROE [1][2]. On an adjusted basis, Q2 2026 operating margin was 25.0% and adjusted EPS of $3.05 grew 3% YoY, with full-year adjusted EPS guidance of $14.45-$14.65 representing 10-12% growth. D/E of 33% benefits from goodwill-inflated equity ($24.75B total assets include massive acquisition goodwill). Forward P/E of 26.04 reflects a premium valuation above the 20 target. Forward PEG of 2.08 suggests the stock is priced above growth-justified levels. Organic revenue growth of 7-9% constant-currency is approaching the 10% target. The company generated $397.8M in TTM free cash flow and maintains $539M in cash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Waters Corporation under Udit Batra demonstrates several infinite game qualities — a genuine 50-year heritage in enabling scientific discovery, a transformative acquisition that bets on long-term relevance over short-term margin optimization, and competitive awareness that drives self-improvement. However, the transformation is still early, employee experience is uneven, and the Just Cause has not yet been tested through a full crisis cycle under current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Waters' purpose — enabling scientific breakthroughs through analytical instrumentation — has been validated by 50+ years of consistent execution in separations science, mass spectrometry, and thermal analysis [1]. The company's instruments have contributed to drug discovery, food safety regulation, and environmental monitoring for decades. Under Batra, the 'indomitable spirit' transformation narrative connects the company's scientific heritage to a renewed sense of purpose. The BD acquisition was explicitly framed as advancing this purpose by expanding into biosciences and diagnostics. However, the current articulation is still evolving under relatively new leadership (Batra joined 2020), preventing a top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Mixed evidence. Batra's 'logic and love' leadership philosophy — emphasizing organizational alignment paired with genuine care for teams — signals intentional trust-building [3]. Some employees praise the innovation culture and approachable leadership. However, Glassdoor reviews include concerning signals: 'CEO does not put people first,' 'morale is at an all-time low,' and criticism of transformation-driven organizational changes [5]. The acquisition of BD's businesses creates integration challenges that can temporarily erode trust as teams merge cultures. Average for a company in mid-transformation.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Waters operates in a highly competitive life science tools market against Agilent Technologies, Thermo Fisher Scientific, Danaher, and Shimadzu. The company's competitive strategy focuses on innovation leadership and customer workflow solutions rather than market share conquest [1]. The BD acquisition was partly motivated by building capabilities that rivals already possessed in flow cytometry and diagnostics — a classic worthy rival response where competitors' strengths reveal your own gaps and drive strategic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BD acquisition represents a significant strategic evolution — transforming Waters from a $3B chromatography/mass spectrometry specialist into a $6.4B+ diversified life sciences tools company spanning analytical instruments, biosciences, and clinical diagnostics [1]. This expansion into adjacent markets was driven by the recognition that customers increasingly need integrated solutions across multiple analytical modalities. The evolution was incremental rather than transformative — Waters remained in life science tools but broadened substantially.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BD acquisition was a major strategic bet, approximately doubling the company's revenue and adding $5B+ in debt [1][2]. This required conviction that the life science tools market would support the combined entity and that integration risk could be managed. Batra's transformation program invested in reinvigorating the product pipeline during a period of flat organic growth (FY2022-2024 revenue ranged $2.88-2.97B). However, the acquisition was enabled by favorable capital markets rather than requiring sacrifice of short-term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Waters Corporation delivered strong Q2 2026 results with $1.645B total revenue and organic growth accelerating to 9% constant-currency, driven by broad end-market strengthening across pharmaceutical, industrial, and academic customers [1]. The transformative BD acquisition is integrating well, with the acquired businesses accelerating to mid-single-digit growth and contributing $817M in Q2 revenue. Management raised full-year 2026 guidance to $6.415-6.476B revenue with adjusted EPS of $14.45-$14.65 (10-12% growth). At $406.86/share and 26x forward adjusted earnings, the stock reflects confidence in the combined platform's growth trajectory. Waters' dominant 35-40% market share in HPLC/UPLC, expansion into flow cytometry and diagnostics, and $398M TTM free cash flow provide a solid foundation for long-term value creation.</w:t>
      </w:r>
    </w:p>
    <w:p>
      <w:pPr>
        <w:spacing w:after="120"/>
      </w:pPr>
      <w:r>
        <w:rPr>
          <w:rFonts w:ascii="Calibri" w:hAnsi="Calibri"/>
          <w:b w:val="0"/>
          <w:color w:val="3A4A28"/>
          <w:sz w:val="20"/>
        </w:rPr>
        <w:t>The bear case centers on valuation, integration risk, and temporarily depressed GAAP financials. The forward P/E of 26x and PEG of 2.08 leave limited margin of safety — any organic growth deceleration below the 7-9% guidance range could trigger multiple compression [2]. GAAP metrics are deeply distorted by the BD acquisition: trailing profit margin of 3.59% and ROE of 1.92% reflect massive amortization of acquired intangibles, while total debt of $5.09B creates financial leverage that constrains strategic flexibility [1][2]. The GAAP net loss of $136M in Q2 2026 underscores that the company's reported earnings will remain depressed until acquisition charges amortize. Mixed employee sentiment on Glassdoor, with some citing low morale and concerns about CEO priorities, suggests the transformation is creating organizational strain that could impact execution during the critical integration period [5]. If the BD businesses underperform mid-single-digit growth expectations, the premium paid may prove difficult to justify.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BD Biosciences and Diagnostics integration accelerating to mid-single-digit growth validates the acquisition thesis and creates potential for revenue synergies as Waters cross-sells analytical instruments to BD's clinical and research customer base</w:t>
      </w:r>
    </w:p>
    <w:p>
      <w:pPr>
        <w:spacing w:before="40" w:after="40"/>
        <w:ind w:left="283"/>
      </w:pPr>
      <w:r>
        <w:rPr>
          <w:rFonts w:ascii="Calibri" w:hAnsi="Calibri"/>
          <w:b/>
          <w:color w:val="4A6B25"/>
          <w:sz w:val="20"/>
        </w:rPr>
        <w:t xml:space="preserve">2. </w:t>
      </w:r>
      <w:r>
        <w:rPr>
          <w:rFonts w:ascii="Calibri" w:hAnsi="Calibri"/>
          <w:b w:val="0"/>
          <w:color w:val="3A4A28"/>
          <w:sz w:val="20"/>
        </w:rPr>
        <w:t>Organic growth acceleration to 8-10% in Q3 2026 guidance with raised full-year adjusted EPS of $14.45-$14.65 demonstrates the combined platform's operating leverage and end-market strengthening</w:t>
      </w:r>
    </w:p>
    <w:p>
      <w:pPr>
        <w:spacing w:before="40" w:after="40"/>
        <w:ind w:left="283"/>
      </w:pPr>
      <w:r>
        <w:rPr>
          <w:rFonts w:ascii="Calibri" w:hAnsi="Calibri"/>
          <w:b/>
          <w:color w:val="4A6B25"/>
          <w:sz w:val="20"/>
        </w:rPr>
        <w:t xml:space="preserve">3. </w:t>
      </w:r>
      <w:r>
        <w:rPr>
          <w:rFonts w:ascii="Calibri" w:hAnsi="Calibri"/>
          <w:b w:val="0"/>
          <w:color w:val="3A4A28"/>
          <w:sz w:val="20"/>
        </w:rPr>
        <w:t>Pharmaceutical and biotech R&amp;D spending recovery driving demand for analytical instruments, with GLP-1 drug development and cell therapy workflows creating incremental instrument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26x and PEG of 2.08 on $5.09B acquisition debt leave minimal margin of safety — any slowdown in the 7-9% organic growth guidance or integration setbacks could trigger significant multiple compression from the current $40B market cap</w:t>
      </w:r>
    </w:p>
    <w:p>
      <w:pPr>
        <w:spacing w:before="40" w:after="40"/>
        <w:ind w:left="283"/>
      </w:pPr>
      <w:r>
        <w:rPr>
          <w:rFonts w:ascii="Calibri" w:hAnsi="Calibri"/>
          <w:b/>
          <w:color w:val="4A6B25"/>
          <w:sz w:val="20"/>
        </w:rPr>
        <w:t xml:space="preserve">2. </w:t>
      </w:r>
      <w:r>
        <w:rPr>
          <w:rFonts w:ascii="Calibri" w:hAnsi="Calibri"/>
          <w:b w:val="0"/>
          <w:color w:val="3A4A28"/>
          <w:sz w:val="20"/>
        </w:rPr>
        <w:t>GAAP financials will remain heavily distorted for years as $5B+ in acquired intangible assets amortize, with trailing profit margin at 3.59% and GAAP Q2 net loss of $136M masking the underlying business quality and complicating investor analysis</w:t>
      </w:r>
    </w:p>
    <w:p>
      <w:pPr>
        <w:spacing w:before="40" w:after="40"/>
        <w:ind w:left="283"/>
      </w:pPr>
      <w:r>
        <w:rPr>
          <w:rFonts w:ascii="Calibri" w:hAnsi="Calibri"/>
          <w:b/>
          <w:color w:val="4A6B25"/>
          <w:sz w:val="20"/>
        </w:rPr>
        <w:t xml:space="preserve">3. </w:t>
      </w:r>
      <w:r>
        <w:rPr>
          <w:rFonts w:ascii="Calibri" w:hAnsi="Calibri"/>
          <w:b w:val="0"/>
          <w:color w:val="3A4A28"/>
          <w:sz w:val="20"/>
        </w:rPr>
        <w:t>Mixed employee sentiment amid the transformation, with Glassdoor reviews citing low morale and CEO leadership concerns, creates integration risk as the company merges Waters and BD cultures during a critical post-acquisition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Waters manufactures precision analytical instruments — liquid chromatographs, mass spectrometers, flow cytometers, and thermal analyzers — that are physical-world products requiring advanced engineering, manufacturing, and regulatory compliance (FDA, ISO, GLP/GMP) [1]. AI cannot substitute for a mass spectrometer or chromatography column. The core customer base in pharmaceutical R&amp;D, quality control, and clinical diagnostics relies on method-validated instruments with regulatory traceability that cannot be replaced by software. However, AI-enabled analytical approaches (e.g., Raman spectroscopy with ML, rapid screening without traditional chromatographic separation) represent a modest long-term alternative methodology risk to certain routine testing applications. The BD acquisition into diagnostics adds additional regulatory and physical moats. AI Opportunity (0/1): No quantified AI revenue disclosed. Waters' informatics platforms and data analysis software likely incorporate machine learning features for peak detection and method optimization, but no specific AI product line or AI-driven revenue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Waters Corporation Q2 FY2026 Earnings Release and FY2026 Guidance — PR Newswire, August 4,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WAT Key Statistics and Financial Ratios,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McKinsey Interview with CEO Udit Batra on Transformation — McKinsey, 2025</w:t>
      </w:r>
    </w:p>
    <w:p>
      <w:pPr>
        <w:spacing w:before="20" w:after="20"/>
        <w:ind w:left="170"/>
      </w:pPr>
      <w:r>
        <w:rPr>
          <w:rFonts w:ascii="Calibri" w:hAnsi="Calibri"/>
          <w:b/>
          <w:color w:val="4A6B25"/>
          <w:sz w:val="15"/>
        </w:rPr>
        <w:t xml:space="preserve">4. </w:t>
      </w:r>
      <w:r>
        <w:rPr>
          <w:rFonts w:ascii="Calibri" w:hAnsi="Calibri"/>
          <w:b w:val="0"/>
          <w:color w:val="3A4A28"/>
          <w:sz w:val="17"/>
        </w:rPr>
        <w:t>Waters Corporation ESG Report 2022 — BusinessWire/ResponsibilityReports, November 2022</w:t>
      </w:r>
    </w:p>
    <w:p>
      <w:pPr>
        <w:spacing w:before="20" w:after="20"/>
        <w:ind w:left="170"/>
      </w:pPr>
      <w:r>
        <w:rPr>
          <w:rFonts w:ascii="Calibri" w:hAnsi="Calibri"/>
          <w:b/>
          <w:color w:val="4A6B25"/>
          <w:sz w:val="15"/>
        </w:rPr>
        <w:t xml:space="preserve">5. </w:t>
      </w:r>
      <w:r>
        <w:rPr>
          <w:rFonts w:ascii="Calibri" w:hAnsi="Calibri"/>
          <w:b w:val="0"/>
          <w:color w:val="3A4A28"/>
          <w:sz w:val="17"/>
        </w:rPr>
        <w:t>Glassdoor — Waters Corporation Employee Reviews,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