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WHD</w:t>
      </w:r>
      <w:r>
        <w:rPr>
          <w:rFonts w:ascii="Calibri" w:hAnsi="Calibri"/>
          <w:b/>
          <w:color w:val="1A2010"/>
          <w:sz w:val="40"/>
        </w:rPr>
        <w:t xml:space="preserve">  Cactus, Inc.</w:t>
      </w:r>
    </w:p>
    <w:p>
      <w:pPr>
        <w:spacing w:after="120"/>
      </w:pPr>
      <w:r>
        <w:rPr>
          <w:rFonts w:ascii="Calibri" w:hAnsi="Calibri"/>
          <w:b/>
          <w:color w:val="6E8450"/>
          <w:sz w:val="18"/>
        </w:rPr>
        <w:t>GROWTH SLEEVE · 2026-08-09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Cactus, Inc. designs, manufactures, sells, and rents wellhead and pressure control equipment and provides field services to oil and gas operators across U.S. unconventional markets and international operations. In January 2026, Cactus acquired a majority interest in Baker Hughes' Surface Pressure Control business (Cactus International), significantly expanding its global footprint. Also manufactures spoolable pipe technologies under the FlexSteel brand. Founded in 2011 by the Bender family, IPO in 2018, headquartered in Houston, Texas.</w:t>
      </w:r>
    </w:p>
    <w:p>
      <w:r>
        <w:rPr>
          <w:rFonts w:ascii="Calibri" w:hAnsi="Calibri"/>
          <w:b/>
          <w:color w:val="6E8450"/>
          <w:sz w:val="18"/>
        </w:rPr>
        <w:t>5,000 Employees · https://cactuswhd.com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Cactus closed the acquisition of a majority interest in Baker Hughes' Surface Pressure Control business on January 1, 2026, creating Cactus International and roughly doubling the company's revenue base — Q1 2026 revenue surged 38.5% YoY to $388.3M [1][2]. This is a significant strategic move that transformed the company from a US-focused operator to a global wellhead equipment provider. The earlier FlexSteel spoolable pipe technology acquisition added a differentiated product line. AI Deployment (0/2): No AI deployment was identified in Cactus's operations. The company manufactures and services physical wellhead equipment — a domain where AI has minimal current application. Market Share (1/2): Cactus is a leading US wellhead equipment provider with meaningful market share in unconventional shale markets, recognized on Inc.'s Best-Led Companies list [3]. The Baker Hughes JV acquisition expanded global reach, though the company is not the dominant category leader. Product Pipeline (1/2): Cactus International provides a significant new growth platform with global expansion opportunities, and management guided for Q3 2026 revenue to be 'down slightly' from Q2's $449.5M — suggesting scale stabilization [1]. However, no next-gen products beyond the existing wellhead/FlexSteel portfolio were announced. R&amp;D Intensity (0/1): No R&amp;D spending data was identified. Oilfield equipment innovation is typically incremental, focused on materials science and design engineering rather than breakthrough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Cactus describes itself as delivering 'wellhead equipment and field services to oil and gas operators' — a functional description of business activity rather than a purpose or vision [3]. No mission, purpose, or vision statement connecting the company's work to a larger societal benefit was found on the company's website or in public materials. Community Impact (0/2): The 2024 Sustainability Report states Cactus is 'committed to improving lives of its employees and communities where they live' and has policies protecting human rights and requiring ethical behavior [4]. However, no specific charitable programs, foundation, or quantified community investment was identified. Employee Retention (1/2): Family-led company since founding in 2011, with board averaging 11.1 years of tenure [5]. Named to Inc.'s Best-Led Companies list (No. 224, 2021) [3]. The Bender family's continued leadership provides cultural continuity, though no specific data on employee turnover or average tenure was available. Insider Buying (0/2): Company insiders collectively sold $22M more than they bought in the last 12 months — significant net insider selling that undercuts insider conviction at current prices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revenue reached $449.5M with adjusted EBITDA of $132.8M (29.5% margin) and operating cash flow of $104.6M [1]. D/E of 3% is exceptional — essentially debt-free — providing maximum financial flexibility and safety. ROE of 16.18% is above the 15% target, and forward P/E of 18.28 is below the 20 target [6]. Revenue growth YoY of 38.5% is well above the 10% target, driven by the Baker Hughes JV acquisition. Key weakness is the forward PEG of 4.93, which far exceeds the 3.0 floor, reflecting low expected forward earnings growth of ~3.7% — the market sees the acquisition boost as a one-time step-up rather than sustainable growth [6]. Profit margin of 15.86% is below the 20% target but reasonable for an oilfield services manufacturer.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Cactus is a well-managed, family-led oilfield equipment company that demonstrates operational discipline and strategic ambition (the Baker Hughes JV acquisition) but lacks the purpose-driven orientation that characterizes infinite game players. The company exists to serve oil and gas operators profitably, not to advance a vision of a better future. The founding family's continued leadership provides stability, but Sinek would note the absence of a Just Cause that transcends the commercial mission.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Cactus exists to manufacture and sell wellhead equipment to oil and gas operators — a legitimate commercial activity but not a vision of a future state that inspires sacrifice or transcends the business itself [3]. The company articulates no purpose beyond serving customers and generating returns. Sinek would classify this as a company that exists to 'maximize shareholder value' in an extractive industry, without a cause that connects its work to something larger.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Family-led since founding in 2011 by the Bender family, with CEO Scott Bender providing leadership continuity and the board averaging 11.1 years tenure [3][5]. Named to Inc.'s Best-Led Companies list in 2021, suggesting organizational competence. However, no specific data on employee culture, psychological safety, or retention was available to confirm high trust beyond leadership 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management acknowledging competitors' strengths or using competitive pressure for self-improvement. The company competes with Schlumberger, Halliburton, and other oilfield service providers, but competitive commentary focuses on Cactus's own capabilities and market position rather than learning from rivals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January 2026 acquisition of Baker Hughes' Surface Pressure Control business transformed Cactus from a US-focused shale equipment provider to a global operation, roughly doubling revenue [1][2]. This was a meaningful strategic evolution, though driven by growth opportunity rather than a fundamental reinvention of the business model. The earlier FlexSteel spoolable pipe technology acquisition also expanded capabilities beyond traditional wellhead equipment. These are adjacent expansions, not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Baker Hughes JV acquisition was a significant bet — Cactus doubled its revenue base and expanded internationally, taking on integration complexity and near-term earnings dilution (Q1 2026 showed a loss from JV accretion) in pursuit of long-term scale [1][2]. The 7% dividend increase alongside the Q2 earnings beat also signals confidence in sustainable cash generation. However, the company has not demonstrated courage in the Sinek sense of sacrificing near-term results for purpose — the acquisition is a financially motivated growth play.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Cactus is a well-capitalized oilfield equipment company that dramatically expanded its scale through the January 2026 Baker Hughes Surface Pressure Control JV acquisition. Q2 2026 revenue reached $449.5M with adjusted EBITDA of $132.8M (29.5% margin) and operating cash flow of $104.6M [1]. The balance sheet is a standout: D/E of just 3% provides exceptional financial safety and flexibility to fund further acquisitions or weather commodity cycles. ROE of 16.18% and forward P/E of 18.28 are both above/below their respective targets, and the 7% dividend increase signals management confidence in sustainable earnings power. GuruFocus rates the stock 97/100, and family leadership since founding provides cultural stability. The global expansion through Cactus International opens international revenue streams beyond the US shale market.</w:t>
      </w:r>
    </w:p>
    <w:p>
      <w:pPr>
        <w:spacing w:after="120"/>
      </w:pPr>
      <w:r>
        <w:rPr>
          <w:rFonts w:ascii="Calibri" w:hAnsi="Calibri"/>
          <w:b w:val="0"/>
          <w:color w:val="3A4A28"/>
          <w:sz w:val="20"/>
        </w:rPr>
        <w:t>The WATCH recommendation reflects cyclical and valuation concerns. The forward PEG of 4.93 far exceeds the 3.0 floor, implying the market expects only ~3.7% forward EPS growth — meaning the acquisition-driven revenue surge is viewed as a one-time step-up rather than the beginning of a sustained growth trajectory [6]. Profit margin of 15.86% is below the 20% target, and the Q1 2026 GAAP loss from JV accretion highlights near-term integration challenges. The oilfield services industry is inherently cyclical — tied to oil prices, rig counts, and E&amp;P capital spending — and a sustained oil price decline below $60/bbl would compress both revenue and margins. Insider selling of $22M in the last 12 months is a concerning signal from a family-controlled company whose founders presumably have the best visibility into long-term prospects [5]. MSCI rates Cactus's ESG performance as 'poor' for its industry, which could limit institutional investor demand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Cactus International integration delivering revenue synergies and margin improvement as the combined operation achieves scale economies in manufacturing and global field services</w:t>
      </w:r>
    </w:p>
    <w:p>
      <w:pPr>
        <w:spacing w:before="40" w:after="40"/>
        <w:ind w:left="283"/>
      </w:pPr>
      <w:r>
        <w:rPr>
          <w:rFonts w:ascii="Calibri" w:hAnsi="Calibri"/>
          <w:b/>
          <w:color w:val="4A6B25"/>
          <w:sz w:val="20"/>
        </w:rPr>
        <w:t xml:space="preserve">2. </w:t>
      </w:r>
      <w:r>
        <w:rPr>
          <w:rFonts w:ascii="Calibri" w:hAnsi="Calibri"/>
          <w:b w:val="0"/>
          <w:color w:val="3A4A28"/>
          <w:sz w:val="20"/>
        </w:rPr>
        <w:t>Rising energy demand from AI data center construction driving increased drilling activity and wellhead equipment demand in the US unconventional market</w:t>
      </w:r>
    </w:p>
    <w:p>
      <w:pPr>
        <w:spacing w:before="40" w:after="40"/>
        <w:ind w:left="283"/>
      </w:pPr>
      <w:r>
        <w:rPr>
          <w:rFonts w:ascii="Calibri" w:hAnsi="Calibri"/>
          <w:b/>
          <w:color w:val="4A6B25"/>
          <w:sz w:val="20"/>
        </w:rPr>
        <w:t xml:space="preserve">3. </w:t>
      </w:r>
      <w:r>
        <w:rPr>
          <w:rFonts w:ascii="Calibri" w:hAnsi="Calibri"/>
          <w:b w:val="0"/>
          <w:color w:val="3A4A28"/>
          <w:sz w:val="20"/>
        </w:rPr>
        <w:t>Dividend growth continuing at 7%+ annually, potentially attracting income-oriented investors to the 1.09% yield with a sustainable 19.5% payout ratio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PEG of 4.93 implies near-zero forward growth expectations — if the Baker Hughes JV fails to deliver revenue synergies, the stock is fully valued for stagnation</w:t>
      </w:r>
    </w:p>
    <w:p>
      <w:pPr>
        <w:spacing w:before="40" w:after="40"/>
        <w:ind w:left="283"/>
      </w:pPr>
      <w:r>
        <w:rPr>
          <w:rFonts w:ascii="Calibri" w:hAnsi="Calibri"/>
          <w:b/>
          <w:color w:val="4A6B25"/>
          <w:sz w:val="20"/>
        </w:rPr>
        <w:t xml:space="preserve">2. </w:t>
      </w:r>
      <w:r>
        <w:rPr>
          <w:rFonts w:ascii="Calibri" w:hAnsi="Calibri"/>
          <w:b w:val="0"/>
          <w:color w:val="3A4A28"/>
          <w:sz w:val="20"/>
        </w:rPr>
        <w:t>Oilfield services cyclicality creates binary risk: a sustained oil price decline below $60/bbl or a drop in US rig counts would simultaneously compress revenue, margins, and valuation multiples</w:t>
      </w:r>
    </w:p>
    <w:p>
      <w:pPr>
        <w:spacing w:before="40" w:after="40"/>
        <w:ind w:left="283"/>
      </w:pPr>
      <w:r>
        <w:rPr>
          <w:rFonts w:ascii="Calibri" w:hAnsi="Calibri"/>
          <w:b/>
          <w:color w:val="4A6B25"/>
          <w:sz w:val="20"/>
        </w:rPr>
        <w:t xml:space="preserve">3. </w:t>
      </w:r>
      <w:r>
        <w:rPr>
          <w:rFonts w:ascii="Calibri" w:hAnsi="Calibri"/>
          <w:b w:val="0"/>
          <w:color w:val="3A4A28"/>
          <w:sz w:val="20"/>
        </w:rPr>
        <w:t>Insider selling of $22M in the last 12 months by family founders undermines the conviction thesis and could signal concern about medium-term commodity cycle exposure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Cactus's core business — manufacturing wellhead and pressure control equipment, providing on-site field services for equipment installation and maintenance, and producing spoolable pipe (FlexSteel) — is structurally immune to AI disruption [1][2]. These are physical-world operations requiring specialized metallurgy, high-pressure engineering, field crews, and equipment that cannot be substituted by software. AI cannot replace a wellhead or install pressure control equipment on a drilling rig. The oil and gas extraction process is inherently physical, and Cactus's products are critical safety infrastructure. A minor exposure exists if AI-optimized drilling reduces the number of wells drilled, but this risk is offset by AI-driven data center construction increasing energy demand and oil consumption. AI Opportunity (0/1): No AI revenue was identified. Cactus does not currently generate revenue from AI-related products or services, which is expected given the physical nature of oilfield equipment manufacturing.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Cactus Q2 2026 Earnings Release, Dividend Increase, and Board Appointment — stocktitan.net, August 1, 2026</w:t>
      </w:r>
    </w:p>
    <w:p>
      <w:pPr>
        <w:spacing w:before="20" w:after="20"/>
        <w:ind w:left="170"/>
      </w:pPr>
      <w:r>
        <w:rPr>
          <w:rFonts w:ascii="Calibri" w:hAnsi="Calibri"/>
          <w:b/>
          <w:color w:val="4A6B25"/>
          <w:sz w:val="15"/>
        </w:rPr>
        <w:t xml:space="preserve">2. </w:t>
      </w:r>
      <w:r>
        <w:rPr>
          <w:rFonts w:ascii="Calibri" w:hAnsi="Calibri"/>
          <w:b w:val="0"/>
          <w:color w:val="3A4A28"/>
          <w:sz w:val="17"/>
        </w:rPr>
        <w:t>Cactus Q1 2026 10-Q Filing and Baker Hughes JV Acquisition — SEC, May 2026</w:t>
      </w:r>
    </w:p>
    <w:p>
      <w:pPr>
        <w:spacing w:before="20" w:after="20"/>
        <w:ind w:left="170"/>
      </w:pPr>
      <w:r>
        <w:rPr>
          <w:rFonts w:ascii="Calibri" w:hAnsi="Calibri"/>
          <w:b/>
          <w:color w:val="4A6B25"/>
          <w:sz w:val="15"/>
        </w:rPr>
        <w:t xml:space="preserve">3. </w:t>
      </w:r>
      <w:r>
        <w:rPr>
          <w:rFonts w:ascii="Calibri" w:hAnsi="Calibri"/>
          <w:b w:val="0"/>
          <w:color w:val="3A4A28"/>
          <w:sz w:val="17"/>
        </w:rPr>
        <w:t>Inc. Magazine — Cactus Wellhead Best-Led Companies (No. 224) and Company Profile, 2021</w:t>
      </w:r>
    </w:p>
    <w:p>
      <w:pPr>
        <w:spacing w:before="20" w:after="20"/>
        <w:ind w:left="170"/>
      </w:pPr>
      <w:r>
        <w:rPr>
          <w:rFonts w:ascii="Calibri" w:hAnsi="Calibri"/>
          <w:b/>
          <w:color w:val="4A6B25"/>
          <w:sz w:val="15"/>
        </w:rPr>
        <w:t xml:space="preserve">4. </w:t>
      </w:r>
      <w:r>
        <w:rPr>
          <w:rFonts w:ascii="Calibri" w:hAnsi="Calibri"/>
          <w:b w:val="0"/>
          <w:color w:val="3A4A28"/>
          <w:sz w:val="17"/>
        </w:rPr>
        <w:t>Cactus 2024 Sustainability Report — cactuswhd.com, December 2025</w:t>
      </w:r>
    </w:p>
    <w:p>
      <w:pPr>
        <w:spacing w:before="20" w:after="20"/>
        <w:ind w:left="170"/>
      </w:pPr>
      <w:r>
        <w:rPr>
          <w:rFonts w:ascii="Calibri" w:hAnsi="Calibri"/>
          <w:b/>
          <w:color w:val="4A6B25"/>
          <w:sz w:val="15"/>
        </w:rPr>
        <w:t xml:space="preserve">5. </w:t>
      </w:r>
      <w:r>
        <w:rPr>
          <w:rFonts w:ascii="Calibri" w:hAnsi="Calibri"/>
          <w:b w:val="0"/>
          <w:color w:val="3A4A28"/>
          <w:sz w:val="17"/>
        </w:rPr>
        <w:t>Simply Wall St — Cactus Management, Insider Activity, and Financial Analysis,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GuruFocus — WHD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