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WHF</w:t>
      </w:r>
      <w:r>
        <w:rPr>
          <w:rFonts w:ascii="Calibri" w:hAnsi="Calibri"/>
          <w:b/>
          <w:color w:val="1A2010"/>
          <w:sz w:val="40"/>
        </w:rPr>
        <w:t xml:space="preserve">  WhiteHorse Finance, Inc.</w:t>
      </w:r>
    </w:p>
    <w:p>
      <w:pPr>
        <w:spacing w:after="120"/>
      </w:pPr>
      <w:r>
        <w:rPr>
          <w:rFonts w:ascii="Calibri" w:hAnsi="Calibri"/>
          <w:b/>
          <w:color w:val="6E8450"/>
          <w:sz w:val="18"/>
        </w:rPr>
        <w:t>DIVIDEND SLEEVE · 2026-08-21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WhiteHorse Finance is an externally managed, non-diversified business development company (BDC) that originates and invests in senior secured loans to lower middle market companies with $50M-$350M enterprise value. Managed by an affiliate of H.I.G. Capital, a $67B global alternative investment firm. Q2 2026 NII was $4.7M ($0.217/share), down from Q1's $5.6M ($0.253/share), on total investment income of $14.4M. NAV per share increased to $11.77 from $11.47 driven by net realized/unrealized gains and accretive share repurchases. The stock trades at a ~39% discount to NAV with weighted average portfolio yield of 10.8%.</w:t>
      </w:r>
    </w:p>
    <w:p>
      <w:r>
        <w:rPr>
          <w:rFonts w:ascii="Calibri" w:hAnsi="Calibri"/>
          <w:b/>
          <w:color w:val="6E8450"/>
          <w:sz w:val="18"/>
        </w:rPr>
        <w:t>https://www.whitehorsefinance.com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WhiteHorse Finance has not meaningfully evolved its business model since its 2012 IPO — it remains a lower middle market BDC focused on senior secured loans with no product launches, market pivots, or business model transformations in the past five years [1]. The portfolio has been repositioned toward sectors resilient to AI disruption (notably industrials) while reducing software exposure, but this is standard credit cycle management, not innovation. AI Deployment (0/2): No AI-powered products or measurable AI-driven efficiencies are evident in WhiteHorse's operations or investment process. Market Share (1/2): WhiteHorse occupies a meaningful niche in lower middle market lending ($50M-$350M enterprise value) with $2.91B deployed across 275 transactions since inception, but it is not a category leader — it competes against dozens of larger BDCs with lower cost of capital [2]. Pipeline (1/2): Management reported origination volume 40-50% higher YoY, citing better credits, lower leverage, and improved documentation terms in the current market environment [1]. This demonstrates active deal flow but no next-generation product development. R&amp;D Intensity (0/1): Not applicable — BDCs do not invest in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WhiteHorse Finance's stated objective is to generate risk-adjusted returns by originating and investing in senior secured loans to lower middle market companies [2]. This is generic financial services language interchangeable with any BDC — it describes the business mechanism, not a purpose beyond profit. Community Impact (0/2): No evidence of charitable giving, foundation activity, or community investment programs. SEC filings acknowledge ESG scrutiny but disclose no specific social impact initiatives [3]. Employee Retention (0/2): As an externally managed BDC, WhiteHorse has no direct employees — all operations are handled by WhiteHorse Capital under H.I.G. Capital. Glassdoor ratings for related entities average 3.0 across culture, work-life balance, and senior management — unremarkable [2]. Insider Buying (2/2): CEO Stuart Aronson purchased 14,000 shares in November 2025 for $96,880, a concrete signal of insider conviction during peak earnings pressure when the stock traded near 52-week lows [2]. For a micro-cap BDC CEO, this represents meaningful personal capital commitment at a time of maximum uncertainty following the Q4 2025 dividend cut.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Estimated avg daily volume ~100,000 shares × $7.16 = $716K, below the $1M minimum — Infrastructure score is automatically 0 [4]. The underlying metrics show mixed fundamentals: Forward P/E of 6.79x is deeply discounted (scores 1.0 against 20x target), and profit margin of approximately 33% (NII/total investment income) scores well [1]. However, ROE of approximately 8% is below the 15% target, total investment income declined 9.4% sequentially to $14.4M reflecting smaller portfolio size and the Outward Hound non-accrual, and D/E of 132% is moderate for a BDC but above the 70% general target. The critical dividend problem persists: Q2 2026 core NII of $0.217/share does not cover the $0.25/share quarterly distribution (payout ratio ~115%), consecutive years of dividend growth is zero after the Q4 2025 cut from $0.385, and the 5-year dividend growth CAGR is negative [1]. The $85M unsecured note maturity in December 2026 creates additional refinancing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WhiteHorse Finance operates as a financially engineered vehicle optimized for distributing income to shareholders and generating management fees for H.I.G. Capital. There is no articulated Just Cause, and the externally managed BDC structure creates inherent misalignment between manager and shareholder interests. The Q4 2025 dividend cut demonstrated reactive courage, and the portfolio repositioning toward AI-resilient sectors shows incremental adaptation. But the company fundamentally plays to win each quarter's distribution rather than to build enduring capability. The 39% discount to NAV reflects the market's assessment of finite-game governance.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WhiteHorse Finance exists to generate risk-adjusted returns for shareholders through leveraged lending — there is no Just Cause beyond financial returns [2]. The company does not articulate a vision of a better future or a purpose that transcends quarterly distributions. The externally managed BDC structure is inherently a finite construct: the manager earns fees, investors receive income, and no broader mission drives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 managed BDC, WhiteHorse operates through WhiteHorse Capital's investment team. CEO Stuart Aronson has led the company since its 2012 IPO, providing 14 years of leadership continuity [2]. His $96,880 insider purchase during peak pessimism suggests management alignment with shareholders. The team has been stable without major departures. However, the external management structure inherently limits deep organizational trust — the manager collects fees regardless of NAV performance, creating a structural tension that Sinek would view as antithetical to high-trust organizations.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WhiteHorse Finance acknowledges worthy rivals or uses competitive dynamics to improve. Management commentary focuses on market positioning in the lower middle market niche and competitive advantages from deal size — a defensive framing about avoiding competitors rather than learning from their strengths [1]. The BDC industry inherently encourages a finite win-lose mindset centered on yield competition and cost of capital.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WhiteHorse has shown meaningful strategic adaptation. The company shifted portfolio composition from mixed first/second lien to exclusively first lien senior secured loans, reducing risk profile in response to credit cycle realities [1]. More recently, the portfolio was repositioned from software-heavy exposure toward industrials and AI-resilient sectors, and origination volume increased 40-50% YoY by adjusting credit criteria to exploit favorable market conditions [1]. These are incremental adaptations within the existing model, not transformative reinvention, but demonstrate willingness to evolve.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dividend cut from $0.385/quarter to $0.25/quarter in Q4 2025 required courage — management chose to right-size distributions rather than continue over-distributing and eroding NAV [1]. This protects long-term book value at the cost of short-term yield and stock price. Management is also exploring fee waivers and share repurchases to address the persistent NAV discount, and accretive buybacks added $0.06/share to Q2 2026 NAV [1]. However, these are reactive measures rather than proactive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WhiteHorse Finance offers a deeply discounted entry point at 0.61x book value ($7.16 vs. $11.77 NAV) with a forward P/E of 6.79x and a ~14% dividend yield on the $1.00 annualized distribution [1][4]. NAV per share recovered 2.6% sequentially to $11.77 in Q2 2026, driven by $0.265/share in net realized/unrealized gains and $0.06/share accretion from share repurchases. Origination volume is running 40-50% above prior year with improved credit quality — better credits, lower leverage, and better documentation terms — suggesting the portfolio rebuild is underway. The H.I.G. Capital platform ($67B AUM) provides institutional deal sourcing and workout capabilities that smaller BDCs lack, and the 10.8% weighted average portfolio yield provides adequate spread income [1].</w:t>
      </w:r>
    </w:p>
    <w:p>
      <w:pPr>
        <w:spacing w:after="120"/>
      </w:pPr>
      <w:r>
        <w:rPr>
          <w:rFonts w:ascii="Calibri" w:hAnsi="Calibri"/>
          <w:b w:val="0"/>
          <w:color w:val="3A4A28"/>
          <w:sz w:val="20"/>
        </w:rPr>
        <w:t>The bear case remains severe. Q2 2026 NII of $0.217/share does not cover the $0.25/share distribution ($0.033/share quarterly shortfall), meaning the dividend is being paid partly from NAV — the same destructive dynamic that forced the Q4 2025 cut from $0.385 [1]. Total investment income declined 9.4% sequentially to $14.4M, reflecting smaller portfolio size and the Outward Hound non-accrual. The $85M unsecured note maturity in December 2026 creates refinancing risk when the stock trades at a 39% discount to NAV, severely limiting accretive capital options. The externally managed structure means H.I.G. Capital continues collecting base management and incentive fees regardless of shareholder outcomes. With daily dollar volume of approximately $716K — below the $1M IOWN liquidity threshold — this stock is too illiquid for meaningful position sizing [4]. The Inspire Impact Score of 0 (MIXED) reflects neutral faith alignment with no significant positive or negative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refinancing of $85M unsecured note maturity in December 2026 could remove a significant overhang and demonstrate capital market access, potentially narrowing the 39% discount to NAV [1]</w:t>
      </w:r>
    </w:p>
    <w:p>
      <w:pPr>
        <w:spacing w:before="40" w:after="40"/>
        <w:ind w:left="283"/>
      </w:pPr>
      <w:r>
        <w:rPr>
          <w:rFonts w:ascii="Calibri" w:hAnsi="Calibri"/>
          <w:b/>
          <w:color w:val="4A6B25"/>
          <w:sz w:val="20"/>
        </w:rPr>
        <w:t xml:space="preserve">2. </w:t>
      </w:r>
      <w:r>
        <w:rPr>
          <w:rFonts w:ascii="Calibri" w:hAnsi="Calibri"/>
          <w:b w:val="0"/>
          <w:color w:val="3A4A28"/>
          <w:sz w:val="20"/>
        </w:rPr>
        <w:t>Origination volume running 40-50% above prior year with improved credit quality could rebuild portfolio size, restore NII above the $0.25/share distribution threshold, and end the NAV-erosion cycle [1]</w:t>
      </w:r>
    </w:p>
    <w:p>
      <w:pPr>
        <w:spacing w:before="40" w:after="40"/>
        <w:ind w:left="283"/>
      </w:pPr>
      <w:r>
        <w:rPr>
          <w:rFonts w:ascii="Calibri" w:hAnsi="Calibri"/>
          <w:b/>
          <w:color w:val="4A6B25"/>
          <w:sz w:val="20"/>
        </w:rPr>
        <w:t xml:space="preserve">3. </w:t>
      </w:r>
      <w:r>
        <w:rPr>
          <w:rFonts w:ascii="Calibri" w:hAnsi="Calibri"/>
          <w:b w:val="0"/>
          <w:color w:val="3A4A28"/>
          <w:sz w:val="20"/>
        </w:rPr>
        <w:t>Management's exploration of fee waivers or structural changes to address the persistent NAV discount — even a modest base fee reduction would materially improve NII coverage and signal manager-shareholder alignment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sustainability: Q2 2026 core NII of $0.217/share does not cover the $0.25/share quarterly distribution, risking another dividend cut if income does not recover — further damaging the stock's primary investment thesis [1]</w:t>
      </w:r>
    </w:p>
    <w:p>
      <w:pPr>
        <w:spacing w:before="40" w:after="40"/>
        <w:ind w:left="283"/>
      </w:pPr>
      <w:r>
        <w:rPr>
          <w:rFonts w:ascii="Calibri" w:hAnsi="Calibri"/>
          <w:b/>
          <w:color w:val="4A6B25"/>
          <w:sz w:val="20"/>
        </w:rPr>
        <w:t xml:space="preserve">2. </w:t>
      </w:r>
      <w:r>
        <w:rPr>
          <w:rFonts w:ascii="Calibri" w:hAnsi="Calibri"/>
          <w:b w:val="0"/>
          <w:color w:val="3A4A28"/>
          <w:sz w:val="20"/>
        </w:rPr>
        <w:t>Refinancing risk: $85M unsecured notes maturing December 2026 must be refinanced when the stock trades at 39% discount to NAV, potentially forcing unfavorable terms or dilutive equity issuance [1]</w:t>
      </w:r>
    </w:p>
    <w:p>
      <w:pPr>
        <w:spacing w:before="40" w:after="40"/>
        <w:ind w:left="283"/>
      </w:pPr>
      <w:r>
        <w:rPr>
          <w:rFonts w:ascii="Calibri" w:hAnsi="Calibri"/>
          <w:b/>
          <w:color w:val="4A6B25"/>
          <w:sz w:val="20"/>
        </w:rPr>
        <w:t xml:space="preserve">3. </w:t>
      </w:r>
      <w:r>
        <w:rPr>
          <w:rFonts w:ascii="Calibri" w:hAnsi="Calibri"/>
          <w:b w:val="0"/>
          <w:color w:val="3A4A28"/>
          <w:sz w:val="20"/>
        </w:rPr>
        <w:t>Liquidity risk: Average daily dollar volume of approximately $716K falls below IOWN's $1M minimum threshold, making the stock effectively untradeable for institutional-size positions and triggering the Infrastructure score floor of 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WhiteHorse Finance's core business — originating senior secured loans to lower middle market companies — involves relationship-driven lending, complex credit analysis of private companies with limited public data, and hands-on portfolio monitoring that AI cannot easily replicate [1][2]. The lower middle market segment specifically involves companies too small and idiosyncratic for algorithmic lending platforms, requiring bespoke due diligence and negotiated documentation. Management has demonstrated AI awareness by repositioning the portfolio toward industrials and away from software companies exposed to AI disruption risk. However, larger BDCs and fintech lenders deploying AI-powered credit underwriting could exert competitive pressure on origination economics [2]. The $85M unsecured note maturity in December 2026 is a balance sheet concern compounded by competitive pressures. AI Opportunity (0/1): WhiteHorse generates no revenue from AI-related products or services and has not disclosed AI-driven operational efficiencies.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WhiteHorse Finance Q2 2026 Earnings Presentation and Call — NII $4.7M ($0.217/share), Total Investment Income $14.4M (-9.4% QoQ), NAV $11.77/share (+2.6% QoQ), Portfolio Yield 10.8%, Origination Volume +40-50% YoY, August 2026</w:t>
      </w:r>
    </w:p>
    <w:p>
      <w:pPr>
        <w:spacing w:before="20" w:after="20"/>
        <w:ind w:left="170"/>
      </w:pPr>
      <w:r>
        <w:rPr>
          <w:rFonts w:ascii="Calibri" w:hAnsi="Calibri"/>
          <w:b/>
          <w:color w:val="4A6B25"/>
          <w:sz w:val="15"/>
        </w:rPr>
        <w:t xml:space="preserve">2. </w:t>
      </w:r>
      <w:r>
        <w:rPr>
          <w:rFonts w:ascii="Calibri" w:hAnsi="Calibri"/>
          <w:b w:val="0"/>
          <w:color w:val="3A4A28"/>
          <w:sz w:val="17"/>
        </w:rPr>
        <w:t>WhiteHorse Finance Company Website, SEC Filings, Craft.co — CEO Stuart Aronson (since 2012 IPO), H.I.G. Capital External Manager, Insider Purchase $96,880 (Nov 2025), Glassdoor 3.0 Rating,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WhiteHorse Finance 10-K FY2024, 10-Q FY2026 — ESG Risk Disclosures, $85M Unsecured Note Maturity December 2026, Business Model Description</w:t>
      </w:r>
    </w:p>
    <w:p>
      <w:pPr>
        <w:spacing w:before="20" w:after="20"/>
        <w:ind w:left="170"/>
      </w:pPr>
      <w:r>
        <w:rPr>
          <w:rFonts w:ascii="Calibri" w:hAnsi="Calibri"/>
          <w:b/>
          <w:color w:val="4A6B25"/>
          <w:sz w:val="15"/>
        </w:rPr>
        <w:t xml:space="preserve">4. </w:t>
      </w:r>
      <w:r>
        <w:rPr>
          <w:rFonts w:ascii="Calibri" w:hAnsi="Calibri"/>
          <w:b w:val="0"/>
          <w:color w:val="3A4A28"/>
          <w:sz w:val="17"/>
        </w:rPr>
        <w:t>StockAnalysis, WallStreetZen, BDCInvestor — WHF Key Statistics: Stock Price $7.16, Forward P/E 6.79x, D/E 132%, Dividend Yield ~14%, NAV Discount ~39%, 52-Week Range $6.07-$8.97,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