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XPRO</w:t>
      </w:r>
      <w:r>
        <w:rPr>
          <w:rFonts w:ascii="Calibri" w:hAnsi="Calibri"/>
          <w:b/>
          <w:color w:val="1A2010"/>
          <w:sz w:val="40"/>
        </w:rPr>
        <w:t xml:space="preserve">  Expro Group Holdings N.V.</w:t>
      </w:r>
    </w:p>
    <w:p>
      <w:pPr>
        <w:spacing w:after="120"/>
      </w:pPr>
      <w:r>
        <w:rPr>
          <w:rFonts w:ascii="Calibri" w:hAnsi="Calibri"/>
          <w:b/>
          <w:color w:val="6E8450"/>
          <w:sz w:val="18"/>
        </w:rPr>
        <w:t>GROWTH SLEEVE · 2026-08-08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Expro Group Holdings N.V. provides energy services and solutions across the full well lifecycle, including well construction, well flow management, subsea well access, and production optimization. Formed through the 2021 merger of legacy Expro and Frank's International, the company serves oil, gas, and emerging energy markets globally with operations in approximately 60 countries.</w:t>
      </w:r>
    </w:p>
    <w:p>
      <w:r>
        <w:rPr>
          <w:rFonts w:ascii="Calibri" w:hAnsi="Calibri"/>
          <w:b/>
          <w:color w:val="6E8450"/>
          <w:sz w:val="18"/>
        </w:rPr>
        <w:t>8,200 Employees · https://www.expro.com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2021 merger with Frank's International created a broader well lifecycle platform, expanding from well flow management into tubular running services, but subsequent product development has been incremental rather than transformative [1][2]. AI Deployment (0/2): No AI-powered products shipping to customers and no quantified AI-driven cost savings reported; digital transformation is referenced in corporate materials but without measurable outcomes [6]. Market Share (1/2): Expro holds meaningful positions in well testing and subsea well access but is a mid-tier player competing against larger oilfield services giants like SLB, Halliburton, and Baker Hughes [1]. Product Pipeline (1/2): Expansion into geothermal energy services and CCUS (carbon capture, utilization, and storage) represents genuine diversification, though revenue from these emerging segments remains immaterial and timelines are vague [4]. R&amp;D Intensity (0/1): No disclosed R&amp;D spending figures; the company's innovation narrative focuses on operational efficiency rather than breakthrough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Expro's stated purpose — 'delivering innovative, safe, and reliable energy solutions across the well lifecycle while supporting a lower carbon future' — is clear about what the company does but not distinctive from peers; it reads as industry-standard language for any oilfield services firm [6]. Community Impact (0/2): ESG report references an 11% emission reduction from 2021 baseline and renewable energy adoption, but no specific charitable programs, community investment dollar amounts, or foundation activity was identified [4]. Employee Retention (1/2): Glassdoor rating of 3.9/5 across 290 reviews with 3.6/5 on culture/values suggests adequate but unremarkable workplace satisfaction; no specific retention metrics or tenure data available [3]. Insider Buying (1/2): Net insider buying of $698K over the last 12 months with 63,200 shares purchased versus 17,500 sold — multiple executives buying demonstrates some conviction, though the dollar amounts are modest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Expro's balance sheet is a standout with debt-to-equity of just 11%, well below the 70% target, reflecting conservative financial management post-merger [3]. However, profitability is weak with ROE of only 3.42% and net profit margin of 2.32%, both far below targets [3]. Revenue declined 6.2% YoY in 2025 to approximately $1.6B, and 2026 guidance of $1.60-1.65B signals essentially flat growth [1][2]. Forward P/E of 17.94 is attractive relative to the 20 target. The critical weakness is PEG ratio of 4.17, reflecting high valuation relative to anemic earnings growth, scoring 0 on that metric. Trailing P/E of 35.82 confirms the growth-valuation mismatch.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Expro operates with a largely finite mindset — the 2021 merger was a strategic consolidation play to achieve scale, and the company's narrative focuses on revenue targets, EBITDA margins, and backlog metrics rather than a compelling vision of the future. The expansion into geothermal and CCUS signals some long-term thinking, but execution remains early-stage and the core business operates on quarterly operational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Expro's purpose statement about 'innovative energy solutions for a lower carbon future' exists but is interchangeable with dozens of oilfield services peers [6]. Leadership references backlog growth, EBITDA expansion, and margin targets in earnings calls rather than a distinctive vision of the future [1][2]. The stated commitment to net-zero by 2050 and 50% carbon intensity reduction by 2030 shows intentionality but doesn't constitute a Just Cause that differentiates the company or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consistent scores across work-life balance, culture, and career opportunities suggests a stable, adequate workplace [3]. The 33% female executive team representation indicates some commitment to diversity. Mike Jardon's 4+ year tenure as CEO provides leadership continuity. However, no evidence of exceptional employee empowerment, long tenure data, or cultural practices that create standout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Expro's competitive language in earnings calls and investor materials focuses on 'winning' contracts, market share gains, and positioning against larger competitors like SLB and Halliburton [1][2]. No evidence of management acknowledging competitors' strengths as motivation for self-improvement or framing competition as a learning opportunity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Expro has evolved its business model through the Frank's International merger and expansion into adjacent energy transition markets (geothermal, CCUS) [4]. These moves represent incremental adaptation — entering adjacent markets and adopting new technologies — but not a transformative reinvention of the business. The company remains fundamentally an oilfield services provider with no evidence of willingness to abandon legacy revenue streams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transformative merger with Frank's International in 2021 represented a genuine strategic bet to create a full-lifecycle well services company, accepting integration risk and short-term margin dilution for long-term platform value [2]. Investment in geothermal and CCUS during a period of weak oilfield activity shows willingness to allocate capital beyond the core. However, 2026 guidance for flat revenue and focus on margin preservation suggests a defensive, incrementalist approach rather than bold long-term investing.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Expro offers a conservatively financed energy services platform with debt-to-equity of just 11% and a $2.5B backlog providing multi-year revenue visibility [1][3]. The Q2 2026 results showed sequential improvement with $393M revenue (up 7% from Q1) and $76M adjusted EBITDA, and the company is targeting mid-20s EBITDA margins as offshore activity strengthens [1]. The merger integration with Frank's International is largely complete, providing a full-lifecycle well services offering that differentiates from smaller competitors. At 17.94x forward earnings, the valuation is reasonable if margin expansion materializes.</w:t>
      </w:r>
    </w:p>
    <w:p>
      <w:pPr>
        <w:spacing w:after="120"/>
      </w:pPr>
      <w:r>
        <w:rPr>
          <w:rFonts w:ascii="Calibri" w:hAnsi="Calibri"/>
          <w:b w:val="0"/>
          <w:color w:val="3A4A28"/>
          <w:sz w:val="20"/>
        </w:rPr>
        <w:t>The bear case centers on persistently weak profitability — net margin of 2.32% and ROE of 3.42% are woefully inadequate for a company trading at 35.8x trailing earnings [3]. Revenue declined 6.2% in 2025 and 2026 guidance implies flat growth at best, meaning the P/E compression thesis depends entirely on margin improvement rather than top-line growth [2]. The oilfield services sector faces structural headwinds from energy transition investment shifts, and Expro's geothermal/CCUS initiatives remain too small to offset any decline in traditional oil and gas capex. The PEG ratio of 4.17 signals the market is paying a growth premium for a company that is not growing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drilling activity recovery driving backlog conversion of the $2.5B order book, particularly deepwater projects in West Africa, Brazil, and the Middle East</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toward mid-20s percentage target through integration synergies, operational leverage, and higher-margin subsea well access contracts</w:t>
      </w:r>
    </w:p>
    <w:p>
      <w:pPr>
        <w:spacing w:before="40" w:after="40"/>
        <w:ind w:left="283"/>
      </w:pPr>
      <w:r>
        <w:rPr>
          <w:rFonts w:ascii="Calibri" w:hAnsi="Calibri"/>
          <w:b/>
          <w:color w:val="4A6B25"/>
          <w:sz w:val="20"/>
        </w:rPr>
        <w:t xml:space="preserve">3. </w:t>
      </w:r>
      <w:r>
        <w:rPr>
          <w:rFonts w:ascii="Calibri" w:hAnsi="Calibri"/>
          <w:b w:val="0"/>
          <w:color w:val="3A4A28"/>
          <w:sz w:val="20"/>
        </w:rPr>
        <w:t>Geothermal and CCUS revenue ramping from pilot projects to meaningful commercial scale, validating the energy transition diversification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2.32% and ROE of 3.42% leave virtually no margin of safety — any operational disruption or pricing pressure could push the company into losses</w:t>
      </w:r>
    </w:p>
    <w:p>
      <w:pPr>
        <w:spacing w:before="40" w:after="40"/>
        <w:ind w:left="283"/>
      </w:pPr>
      <w:r>
        <w:rPr>
          <w:rFonts w:ascii="Calibri" w:hAnsi="Calibri"/>
          <w:b/>
          <w:color w:val="4A6B25"/>
          <w:sz w:val="20"/>
        </w:rPr>
        <w:t xml:space="preserve">2. </w:t>
      </w:r>
      <w:r>
        <w:rPr>
          <w:rFonts w:ascii="Calibri" w:hAnsi="Calibri"/>
          <w:b w:val="0"/>
          <w:color w:val="3A4A28"/>
          <w:sz w:val="20"/>
        </w:rPr>
        <w:t>Flat 2026 revenue guidance of $1.60-1.65B against a PEG of 4.17 means the stock is priced for growth that is not materializing, creating significant downside risk on any earnings miss</w:t>
      </w:r>
    </w:p>
    <w:p>
      <w:pPr>
        <w:spacing w:before="40" w:after="40"/>
        <w:ind w:left="283"/>
      </w:pPr>
      <w:r>
        <w:rPr>
          <w:rFonts w:ascii="Calibri" w:hAnsi="Calibri"/>
          <w:b/>
          <w:color w:val="4A6B25"/>
          <w:sz w:val="20"/>
        </w:rPr>
        <w:t xml:space="preserve">3. </w:t>
      </w:r>
      <w:r>
        <w:rPr>
          <w:rFonts w:ascii="Calibri" w:hAnsi="Calibri"/>
          <w:b w:val="0"/>
          <w:color w:val="3A4A28"/>
          <w:sz w:val="20"/>
        </w:rPr>
        <w:t>Structural energy transition away from fossil fuels threatens long-term demand for core oilfield services, and the geothermal/CCUS pivot remains unproven at commercial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Expro's core business involves physical well intervention, subsea equipment deployment, tubular running services, and on-site flow management — operations that require specialized hardware, trained personnel, and real-world execution that AI structurally cannot replicate [6]. The oilfield services industry has high barriers to entry including safety certifications, equipment fleets, and client relationships built over decades. AI may enhance predictive maintenance and operational planning but cannot substitute for the physical work. However, some back-office and engineering design functions face modest AI efficiency pressure. AI Opportunity (0/1): No quantifiable AI-related revenue. The company references 'digital transformation' and 'data-driven decisions' in corporate materials but has not shipped AI-powered products or reported AI-specific revenue streams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Expro Group Q2 2026 Earnings Release — $393M Revenue, Adjusted EBITDA of $76M,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Expro Group Q4 2025 Results and Full-Year 2026 Guidance — Seeking Alpha,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XPRO Key Statistics and Valuation Metrics,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Expro ESG Report — 11% Emission Reduction, Geothermal/CCUS Expansion, expro.com,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XPRO Insider Trading Activity, Net Buying of $698K,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Expro Company Website — About Us, Mission Statement, Executive Team, expro.com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