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YPF</w:t>
      </w:r>
      <w:r>
        <w:rPr>
          <w:rFonts w:ascii="Calibri" w:hAnsi="Calibri"/>
          <w:b/>
          <w:color w:val="1A2010"/>
          <w:sz w:val="40"/>
        </w:rPr>
        <w:t xml:space="preserve">  YPF Sociedad Anonima</w:t>
      </w:r>
    </w:p>
    <w:p>
      <w:pPr>
        <w:spacing w:after="120"/>
      </w:pPr>
      <w:r>
        <w:rPr>
          <w:rFonts w:ascii="Calibri" w:hAnsi="Calibri"/>
          <w:b/>
          <w:color w:val="6E8450"/>
          <w:sz w:val="18"/>
        </w:rPr>
        <w:t>GROWTH SLEEVE · 2026-07-22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Argentina</w:t>
      </w:r>
    </w:p>
    <w:p>
      <w:pPr>
        <w:spacing w:after="80"/>
      </w:pPr>
      <w:r>
        <w:rPr>
          <w:rFonts w:ascii="Calibri" w:hAnsi="Calibri"/>
          <w:b w:val="0"/>
          <w:color w:val="3A4A28"/>
          <w:sz w:val="20"/>
        </w:rPr>
        <w:t>YPF is Argentina's largest integrated energy company, operating across upstream oil and gas exploration/production anchored by the Vaca Muerta shale formation, midstream/downstream refining and marketing, LNG development, petrochemicals, and new energies. The Argentine government holds majority ownership. CEO Horacio Marin has repositioned YPF as a world-class shale operator, with shale oil production reaching 205,000 bpd in Q1 2026. Headquartered in Buenos Aires.</w:t>
      </w:r>
    </w:p>
    <w:p>
      <w:r>
        <w:rPr>
          <w:rFonts w:ascii="Calibri" w:hAnsi="Calibri"/>
          <w:b/>
          <w:color w:val="6E8450"/>
          <w:sz w:val="18"/>
        </w:rPr>
        <w:t>21,000 Employees · https://www.ypf.com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YPF has successfully transformed from a conventional Argentine oil producer into a world-class shale operator under CEO Horacio Marin, growing shale oil production 39% YoY to 205,000 bpd in Q1 2026 (now 76% of total oil production) while cutting lifting costs 42% to $8.8/BOE [1][2]. Record adjusted EBITDA of $1.6B in Q1 2026 (up 28% YoY, 32% margin) validates the shale transformation. AI Deployment (1/2): YPF has developed a Real Time Intelligence Center managing Vaca Muerta drilling and fracturing operations remotely from its Madero tower headquarters, using real-time data analytics for operational optimization [3]. CEO Marin has described AI as a strategic tool while emphasizing the human factor. No specific AI revenue quantified. Market Share (2/2): YPF is the dominant energy producer in Argentina with the largest acreage position in Vaca Muerta — the world's second-largest shale oil and fourth-largest shale gas formation — with no meaningful domestic competitor at scale [1]. Product Pipeline (2/2): Specific production targets: 215,000 bpd by year-end 2026 with December exit rate of 250,000 bpd; VMOS export pipeline (180,000 bpd capacity, expandable to 550,000 bpd) at 62% completion with Phase I start in January 2027; $5.5-5.8B capex planned for 2026; fleet expanding from 12 to 18 company-owned rigs [1][2]. R&amp;D Intensity (0/1): R&amp;D spending is not separately disclosed; technology investments focus on drilling efficiency and completion optimization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YPF's purpose centers on developing Argentina's energy resources and driving national energy independence — a clear and meaningful mission tied to the country's economic transformation. However, as a government-controlled entity, the mission is intertwined with political objectives and shifts with administrations rather than representing a purely purpose-driven corporate vision [3]. Community Impact (1/2): YPF is Argentina's largest company and a critical employer, with massive economic impact through energy infrastructure development, tax revenues, and regional employment in Neuquen province. The sustainable aviation fuel JV and net-zero 2050 commitment show ESG engagement, but no distinctive charitable programs identified [4]. Employee Retention (1/2): CEO Marin's leadership philosophy draws from his sports background, emphasizing replacing fear of failure with long-term objectives, and describes the Vaca Muerta development as a 'virtuous circle between state, industry, and unions' [3]. No specific turnover or tenure data available. Insider Buying (1/2): CEO Marin purchased 2,840 shares on July 2, 2026, bringing holdings to 92,193 shares; VP Upstream Matias Farina bought 4,518 ADS and 4,357 Class D shares the same day [5]. Stanley Druckenmiller increased his stake 433% to 3.2M shares (~$150M) in Q1 2026. Modest but directionally positive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showed dramatic improvement: revenue of $4.95B (up 7% YoY), net income of $409M (vs -$10M loss a year ago), and adjusted EBITDA of $1.6B at 32% margin [1]. Forward P/E of 7.7x is extremely attractive, well below the 20 target, reflecting Argentine sovereign risk discount despite operational excellence. D/E of 92% is manageable for an integrated oil company with $1.69B cash against $10.7B debt. ROE of 14.53% (TTM from latest data) is approaching the 15% target, a major improvement from negative ROE in 2025 annual results. Profit margin of 8.17% (TTM) is below the 20% target but a significant recovery from negative margins. Revenue 5-year CAGR estimated at ~7% reflects FX distortions masking underlying production growth. PEG ratio unavailable — excluded from scoring. Liquidity floor cleared: 2.0M avg volume x $50.44 = $100.9M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YPF plays a mixed game — the company demonstrates genuine long-term vision through its multi-year Vaca Muerta development strategy, massive pipeline infrastructure investments, and production targets extending to 2029. CEO Marin's leadership has brought operational discipline and strategic clarity. However, government majority ownership introduces political short-termism, currency distortions, and leadership succession risk tied to election cycles rather than corporate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Vaca Muerta to achieve Argentine energy independence and transform the country into a global energy exporter is a genuine cause extending beyond quarterly earnings — it connects YPF's work to national economic transformation [1][3]. CEO Marin's vision of making YPF a 'top 20 global energy company' provides directional clarity. The VMOS pipeline and LNG export strategy reflect multi-decade commitment. However, government control means the cause is entangled with political cycles, and leadership changes with elections can redirect strategy entirely.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Marin has brought clarity and operational focus since taking over in late 2023, describing the Vaca Muerta development as a 'virtuous circle between state, industry, and unions' [3]. His expansion of the company-owned rig fleet from 12 to 18 shows trust in the internal operational team. However, government ownership means leadership appointments carry political dimensions, and the broader organization's culture is shaped by Argentine labor regulations and union dynamics rather than mission-driven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YPF explicitly benchmarks against U.S. Permian Basin operators and global shale leaders, with CEO Marin dubbing Vaca Muerta 'the Permian of South America' [2][3]. The company's focus on driving lifting costs from $8.8/BOE toward Permian-level efficiency shows a learning orientation. Management references international best practices and partnership models rather than framing competition as a zero-sum game.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YPF has evolved from conventional to shale production, this is an adaptation within the same industry rather than a transformative reinvention. The company remains fundamentally an oil and gas producer, and its net-zero 2050 commitment lacks concrete transition pathways beyond incremental additions like the sustainable aviation fuel JV [4]. Government ownership constrains the ability to make dramatic strategic pivots, and the company's identity is inseparable from Argentine fossil fuel production.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YPF's massive $5.5-5.8B annual capex investment in Vaca Muerta infrastructure — particularly the VMOS pipeline and aggressive rig fleet expansion — represents significant long-term conviction during Argentine macroeconomic instability [1][2]. Committing to this investment pace while managing currency volatility and political uncertainty requires genuine courage. The July 2026 insider purchases by CEO Marin and VP Farina signal personal financial commitment to the thesis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YPF offers compelling exposure to the Vaca Muerta shale revolution at a deep value entry point. Q1 2026 delivered transformative results: $4.95B revenue (up 7% YoY), $409M net income (swinging from a year-ago loss), and record $1.6B adjusted EBITDA at 32% margin (up 28% YoY) [1]. Shale oil production surged 39% to 205,000 bpd, now comprising 76% of total output, while lifting costs dropped 42% to $8.8/BOE — approaching Permian Basin efficiency levels. At 7.7x forward P/E, YPF trades at a massive discount to global integrated oil peers despite superior production growth. The VMOS export pipeline (62% complete, Phase I January 2027) is the transformative catalyst unlocking Argentina's ability to export crude at international prices, with capacity expandable to 550,000 bpd [1][2]. CEO Marin's operational discipline has driven free cash flow to $871M in Q1, and net leverage has fallen to 1.57x. Stanley Druckenmiller's 433% stake increase to $150M validates the institutional case [5].</w:t>
      </w:r>
    </w:p>
    <w:p>
      <w:pPr>
        <w:spacing w:after="120"/>
      </w:pPr>
      <w:r>
        <w:rPr>
          <w:rFonts w:ascii="Calibri" w:hAnsi="Calibri"/>
          <w:b w:val="0"/>
          <w:color w:val="3A4A28"/>
          <w:sz w:val="20"/>
        </w:rPr>
        <w:t>The bear case is dominated by Argentine sovereign and currency risk. Past peso devaluations have converted record EBITDA into net losses, and future currency instability could repeat this pattern regardless of operational performance [1]. Government majority ownership creates structural risks: political appointments drive leadership changes, capital controls can trap cash flows in-country, and export restrictions may limit realization of international pricing even after VMOS completion. Debt of $10.7B against $1.69B cash (D/E 92%) is elevated for an emerging market operator with commodity price exposure [5]. Without new discoveries, current reserves last only 8 years for oil and 13 for gas at current production rates, creating a reserve replacement treadmill [4]. Fracking environmental lawsuits could delay Vaca Muerta expansion, and the Altman Z-Score of 1.59 signals elevated bankruptcy risk. The 52-week stock price range of $105-$154 (for the ADR) reflects extreme volatility driven by Argentine political and macro factors beyond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VMOS oil export pipeline Phase I operational January 2027 (180,000 bpd capacity, expandable to 550,000 bpd), enabling access to international crude pricing and potentially doubling YPF's realized oil prices on exported barrels [1][2]</w:t>
      </w:r>
    </w:p>
    <w:p>
      <w:pPr>
        <w:spacing w:before="40" w:after="40"/>
        <w:ind w:left="283"/>
      </w:pPr>
      <w:r>
        <w:rPr>
          <w:rFonts w:ascii="Calibri" w:hAnsi="Calibri"/>
          <w:b/>
          <w:color w:val="4A6B25"/>
          <w:sz w:val="20"/>
        </w:rPr>
        <w:t xml:space="preserve">2. </w:t>
      </w:r>
      <w:r>
        <w:rPr>
          <w:rFonts w:ascii="Calibri" w:hAnsi="Calibri"/>
          <w:b w:val="0"/>
          <w:color w:val="3A4A28"/>
          <w:sz w:val="20"/>
        </w:rPr>
        <w:t>Shale oil production ramp to 250,000 bpd exit rate by December 2026 with rig fleet expanding from 12 to 18 company-owned rigs, driving volume-driven EBITDA growth [1][2]</w:t>
      </w:r>
    </w:p>
    <w:p>
      <w:pPr>
        <w:spacing w:before="40" w:after="40"/>
        <w:ind w:left="283"/>
      </w:pPr>
      <w:r>
        <w:rPr>
          <w:rFonts w:ascii="Calibri" w:hAnsi="Calibri"/>
          <w:b/>
          <w:color w:val="4A6B25"/>
          <w:sz w:val="20"/>
        </w:rPr>
        <w:t xml:space="preserve">3. </w:t>
      </w:r>
      <w:r>
        <w:rPr>
          <w:rFonts w:ascii="Calibri" w:hAnsi="Calibri"/>
          <w:b w:val="0"/>
          <w:color w:val="3A4A28"/>
          <w:sz w:val="20"/>
        </w:rPr>
        <w:t>Continued lifting cost reduction trajectory toward Permian Basin levels ($5-6/BOE), with Q1 2026 costs already at $8.8/BOE down from $15.2/BOE a year ago, expanding margins even at lower oil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sovereign and currency risk — peso devaluation has historically destroyed reported earnings despite record operational performance, and future instability could prevent international investors from realizing returns [1]</w:t>
      </w:r>
    </w:p>
    <w:p>
      <w:pPr>
        <w:spacing w:before="40" w:after="40"/>
        <w:ind w:left="283"/>
      </w:pPr>
      <w:r>
        <w:rPr>
          <w:rFonts w:ascii="Calibri" w:hAnsi="Calibri"/>
          <w:b/>
          <w:color w:val="4A6B25"/>
          <w:sz w:val="20"/>
        </w:rPr>
        <w:t xml:space="preserve">2. </w:t>
      </w:r>
      <w:r>
        <w:rPr>
          <w:rFonts w:ascii="Calibri" w:hAnsi="Calibri"/>
          <w:b w:val="0"/>
          <w:color w:val="3A4A28"/>
          <w:sz w:val="20"/>
        </w:rPr>
        <w:t>Government majority ownership and political interference — leadership changes tied to election cycles, capital controls, and export restrictions can redirect strategy and constrain shareholder value realization [3]</w:t>
      </w:r>
    </w:p>
    <w:p>
      <w:pPr>
        <w:spacing w:before="40" w:after="40"/>
        <w:ind w:left="283"/>
      </w:pPr>
      <w:r>
        <w:rPr>
          <w:rFonts w:ascii="Calibri" w:hAnsi="Calibri"/>
          <w:b/>
          <w:color w:val="4A6B25"/>
          <w:sz w:val="20"/>
        </w:rPr>
        <w:t xml:space="preserve">3. </w:t>
      </w:r>
      <w:r>
        <w:rPr>
          <w:rFonts w:ascii="Calibri" w:hAnsi="Calibri"/>
          <w:b w:val="0"/>
          <w:color w:val="3A4A28"/>
          <w:sz w:val="20"/>
        </w:rPr>
        <w:t>Reserve life of 8 years for oil at current production rates requires continuous Vaca Muerta development execution; any permitting delays, environmental litigation, or capital constraints could stall the production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YPF's core business — extracting oil and gas from Vaca Muerta shale, refining petroleum products, and building export pipeline infrastructure — is deeply physical-world and structurally immune to AI substitution [1]. Oil and gas extraction requires drilling rigs, subsurface geology expertise, physical pipeline networks, and refinery operations that AI cannot replace. AI data centers are actually increasing global energy demand, which benefits oil and gas producers. Argentine regulatory complexity and government ownership create additional structural moats. YPF's Real Time Intelligence Center shows the company is adopting AI as an operational tool rather than facing it as a threat [3]. AI Opportunity (0/1): No evidence of AI-driven revenue generation. YPF's technology investments focus on drilling and completion optimization rather than AI product commercialization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YPF Q1 2026 Earnings Release — $4.95B revenue, $409M net income, record $1.6B adjusted EBITDA (32% margin), shale oil 205K bpd (up 39%), lifting costs $8.8/BOE, May 2026</w:t>
      </w:r>
    </w:p>
    <w:p>
      <w:pPr>
        <w:spacing w:before="20" w:after="20"/>
        <w:ind w:left="170"/>
      </w:pPr>
      <w:r>
        <w:rPr>
          <w:rFonts w:ascii="Calibri" w:hAnsi="Calibri"/>
          <w:b/>
          <w:color w:val="4A6B25"/>
          <w:sz w:val="15"/>
        </w:rPr>
        <w:t xml:space="preserve">2. </w:t>
      </w:r>
      <w:r>
        <w:rPr>
          <w:rFonts w:ascii="Calibri" w:hAnsi="Calibri"/>
          <w:b w:val="0"/>
          <w:color w:val="3A4A28"/>
          <w:sz w:val="17"/>
        </w:rPr>
        <w:t>YPF Vaca Muerta Strategy and VMOS Pipeline — 62% complete, 250K bpd exit rate target, rig fleet expansion, Shale24 and BrazilEnergyInsight, 2026</w:t>
      </w:r>
    </w:p>
    <w:p>
      <w:pPr>
        <w:spacing w:before="20" w:after="20"/>
        <w:ind w:left="170"/>
      </w:pPr>
      <w:r>
        <w:rPr>
          <w:rFonts w:ascii="Calibri" w:hAnsi="Calibri"/>
          <w:b/>
          <w:color w:val="4A6B25"/>
          <w:sz w:val="15"/>
        </w:rPr>
        <w:t xml:space="preserve">3. </w:t>
      </w:r>
      <w:r>
        <w:rPr>
          <w:rFonts w:ascii="Calibri" w:hAnsi="Calibri"/>
          <w:b w:val="0"/>
          <w:color w:val="3A4A28"/>
          <w:sz w:val="17"/>
        </w:rPr>
        <w:t>CEO Horacio Marin Leadership and AI Strategy — Infobae, LM Neuquen, La Nacion interviews, 2025-2026</w:t>
      </w:r>
    </w:p>
    <w:p>
      <w:pPr>
        <w:spacing w:before="20" w:after="20"/>
        <w:ind w:left="170"/>
      </w:pPr>
      <w:r>
        <w:rPr>
          <w:rFonts w:ascii="Calibri" w:hAnsi="Calibri"/>
          <w:b/>
          <w:color w:val="4A6B25"/>
          <w:sz w:val="15"/>
        </w:rPr>
        <w:t xml:space="preserve">4. </w:t>
      </w:r>
      <w:r>
        <w:rPr>
          <w:rFonts w:ascii="Calibri" w:hAnsi="Calibri"/>
          <w:b w:val="0"/>
          <w:color w:val="3A4A28"/>
          <w:sz w:val="17"/>
        </w:rPr>
        <w:t>YPF ESG Profile — NRGI, S&amp;P Global, reserve life analysis, fracking environmental risks,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GuruFocus — YPF key statistics, forward P/E 7.70, D/E 92%, ROE 14.53%, insider transactions July 2026, Druckenmiller stake increase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