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ZVRA</w:t>
      </w:r>
      <w:r>
        <w:rPr>
          <w:rFonts w:ascii="Calibri" w:hAnsi="Calibri"/>
          <w:b/>
          <w:color w:val="1A2010"/>
          <w:sz w:val="40"/>
        </w:rPr>
        <w:t xml:space="preserve">  Zevra Therapeutics, Inc.</w:t>
      </w:r>
    </w:p>
    <w:p>
      <w:pPr>
        <w:spacing w:after="120"/>
      </w:pPr>
      <w:r>
        <w:rPr>
          <w:rFonts w:ascii="Calibri" w:hAnsi="Calibri"/>
          <w:b/>
          <w:color w:val="6E8450"/>
          <w:sz w:val="18"/>
        </w:rPr>
        <w:t>GROWTH SLEEVE · 2026-08-07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Zevra Therapeutics is a commercial-stage rare disease biopharmaceutical company based in Celebration, Florida. Its lead product MIPLYFFA (arimoclomol) is the first and only FDA-approved treatment for Niemann-Pick disease Type C, and its second product OLPRUVA treats urea cycle disorders. The company also collects AZSTARYS royalties and was rebranded from KemPharm around a rare-disease commercial strategy under CEO Neil McFarlane.</w:t>
      </w:r>
    </w:p>
    <w:p>
      <w:r>
        <w:rPr>
          <w:rFonts w:ascii="Calibri" w:hAnsi="Calibri"/>
          <w:b/>
          <w:color w:val="6E8450"/>
          <w:sz w:val="18"/>
        </w:rPr>
        <w:t>150 Employees · https://zevra.com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Zevra transformed from KemPharm, an ADHD prodrug developer, into a commercial rare-disease company, launching MIPLYFFA in 2024 as the first and only FDA-approved therapy for Niemann-Pick disease Type C, alongside OLPRUVA for urea cycle disorders [1][2]. AI Deployment (0/2): No evidence of AI-powered products, drug discovery tools, or quantified AI-driven savings was found in research. Market Share (2/2): MIPLYFFA holds an uncontested first-and-only position in the US NPC market, a specific, category-defining claim [1]. Product Pipeline (0/2): The EU marketing application for arimoclomol received a negative CHMP opinion in July 2026, a concrete pipeline setback with no other named next-generation asset and timeline surfacing in research [4]. R&amp;D Intensity (0/1): No R&amp;D-as-percent-of-revenue disclosure relative to peers was found in available sources.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Zevra's stated purpose — to redefine what is possible for people living with rare diseases — is specific and patient-first, reinforced by CEO Neil McFarlane's public commentary on scaling impact in ultra-rare conditions, though the company is only a few years into living out this rebranded identity [2][3]. Community Impact (0/2): No charitable foundation, community investment program, or specific philanthropic dollar figures were found in research. Employee Retention (0/2): No tenure, turnover, or retention data was located for the roughly 150-person organization. Insider Buying (0/2): No insider transaction data was found in available sources; per scoring rules, absence of evidence scores zero rather than being assumed positive.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all six core inputs clear target thresholds. Q2 2026 revenue reached $39.7M, up 53.3% YoY, following 78% YoY growth in Q1 2026, driven by MIPLYFFA ($24.6M net revenue in Q1 alone) plus expanded-access reimbursements and AZSTARYS royalties [1]. The company retired all outstanding debt using proceeds from its SDX portfolio sale, eliminating roughly $8M in annual interest expense and leaving debt-to-equity near zero [1]. ROE of 34.8% and profit margin of 42.8% reflect a lean, high-margin specialty structure, and Forward P/E of 16.05 is below the 20x target [5]. Average daily volume of ~1.53M shares against an $11.88 price clears the liquidity floor by a wide margin (~$18.2M daily dollar volume) [5]. Forward PEG is unavailable and excluded from the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Zevra shows genuine existential flexibility, having reinvented itself from an ADHD prodrug company into a rare-disease leader with a first-and-only approved therapy, but its Just Cause and organizational trust are unproven given the company's short track record since rebranding, and the July 2026 EU rejection undercuts confidence in disciplined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mission to redefine what is possible for people living with rare diseases connects the company's work to patients underserved by prior treatment options, and McFarlane's public commentary consistently frames strategy around patient urgency rather than quarterly metrics [2][3]. However, the cause has not yet been tested through a full market cycle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major layoffs, leadership turnover, or cultural red flags surfaced in research, and the company is described internally as mission-driven, but no specific tenure or engagement data exists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MIPLYFFA's first-and-only status in NPC leaves no direct US competitor to reference, and no competitive framing language was found in company communications.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pivot from KemPharm's ADHD stimulant-prodrug pipeline to Zevra's rare-disease commercial model — culminating in the first approved NPC therapy — is a genuine business-model reinvention, not an incremental extension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proactively retired all outstanding debt using divestiture proceeds to remove ~$8M in annual interest costs, prioritizing balance sheet discipline over near-term EPS optimization via leverage, and continued pursuing EU access for arimoclomol despite regulatory uncertainty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Zevra delivered its second consecutive quarter of strong growth, with Q2 2026 revenue of $39.7M (+53.3% YoY) beating estimates, driven by MIPLYFFA's position as the first and only FDA-approved treatment for Niemann-Pick disease Type C [1]. The company reached debt-free status in 2026 by retiring all outstanding debt with divestiture proceeds, producing a pristine balance sheet (D/E near zero, ROE of 34.8%, profit margin of 42.8%) that mechanically scores a perfect 10 on Infrastructure [1][5]. As a physical specialty-pharma commercialization business serving an uncontested ultra-rare disease niche, Zevra carries low AI disruption risk (8/10), and its existential-flexibility pivot from ADHD prodrugs to rare-disease leadership demonstrates real strategic reinvention.</w:t>
      </w:r>
    </w:p>
    <w:p>
      <w:pPr>
        <w:spacing w:after="120"/>
      </w:pPr>
      <w:r>
        <w:rPr>
          <w:rFonts w:ascii="Calibri" w:hAnsi="Calibri"/>
          <w:b w:val="0"/>
          <w:color w:val="3A4A28"/>
          <w:sz w:val="20"/>
        </w:rPr>
        <w:t>The bear case centers on concentration risk and unproven organizational depth. MIPLYFFA revenue includes a meaningful expanded-access reimbursement component ($10.2M of Q1's $36.2M) that is not guaranteed to persist as commercial uptake matures, and the July 2026 EMA CHMP negative opinion on arimoclomol's EU marketing application is a concrete pipeline setback that raises questions about international expansion execution [1][4]. Levi &amp; Korsinsky's July 2026 investor investigation notice, while not a confirmed finding of wrongdoing, adds legal overhang [5]. Inspiration and Innovation scores are held down by an absence of public data on R&amp;D intensity, community investment, insider buying, and employee retention — gaps that reflect Zevra's small size and short operating history as a rebranded company rather than confirmed weaknesses, but which limit confidence in the durability of its current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MIPLYFFA commercial ramp in the US NPC market, where Zevra holds an uncontested first-and-only approved therapy position with no direct domestic competitor</w:t>
      </w:r>
    </w:p>
    <w:p>
      <w:pPr>
        <w:spacing w:before="40" w:after="40"/>
        <w:ind w:left="283"/>
      </w:pPr>
      <w:r>
        <w:rPr>
          <w:rFonts w:ascii="Calibri" w:hAnsi="Calibri"/>
          <w:b/>
          <w:color w:val="4A6B25"/>
          <w:sz w:val="20"/>
        </w:rPr>
        <w:t xml:space="preserve">2. </w:t>
      </w:r>
      <w:r>
        <w:rPr>
          <w:rFonts w:ascii="Calibri" w:hAnsi="Calibri"/>
          <w:b w:val="0"/>
          <w:color w:val="3A4A28"/>
          <w:sz w:val="20"/>
        </w:rPr>
        <w:t>Potential resubmission or appeal of the arimoclomol EU marketing authorization following the July 2026 negative CHMP opinion, which would open a second major geographic market</w:t>
      </w:r>
    </w:p>
    <w:p>
      <w:pPr>
        <w:spacing w:before="40" w:after="40"/>
        <w:ind w:left="283"/>
      </w:pPr>
      <w:r>
        <w:rPr>
          <w:rFonts w:ascii="Calibri" w:hAnsi="Calibri"/>
          <w:b/>
          <w:color w:val="4A6B25"/>
          <w:sz w:val="20"/>
        </w:rPr>
        <w:t xml:space="preserve">3. </w:t>
      </w:r>
      <w:r>
        <w:rPr>
          <w:rFonts w:ascii="Calibri" w:hAnsi="Calibri"/>
          <w:b w:val="0"/>
          <w:color w:val="3A4A28"/>
          <w:sz w:val="20"/>
        </w:rPr>
        <w:t>Conversion of expanded-access program patients into standard commercial reimbursement, which would improve revenue quality and reduce dependence on the expanded-access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revenue concentration in MIPLYFFA leaves Zevra exposed to any safety signal, reimbursement setback, or competitive entrant in the ultra-rare NPC indication</w:t>
      </w:r>
    </w:p>
    <w:p>
      <w:pPr>
        <w:spacing w:before="40" w:after="40"/>
        <w:ind w:left="283"/>
      </w:pPr>
      <w:r>
        <w:rPr>
          <w:rFonts w:ascii="Calibri" w:hAnsi="Calibri"/>
          <w:b/>
          <w:color w:val="4A6B25"/>
          <w:sz w:val="20"/>
        </w:rPr>
        <w:t xml:space="preserve">2. </w:t>
      </w:r>
      <w:r>
        <w:rPr>
          <w:rFonts w:ascii="Calibri" w:hAnsi="Calibri"/>
          <w:b w:val="0"/>
          <w:color w:val="3A4A28"/>
          <w:sz w:val="20"/>
        </w:rPr>
        <w:t>The EMA's negative CHMP opinion on arimoclomol signals regulatory execution risk that could delay or block EU revenue Zevra likely built into long-term growth assumptions</w:t>
      </w:r>
    </w:p>
    <w:p>
      <w:pPr>
        <w:spacing w:before="40" w:after="40"/>
        <w:ind w:left="283"/>
      </w:pPr>
      <w:r>
        <w:rPr>
          <w:rFonts w:ascii="Calibri" w:hAnsi="Calibri"/>
          <w:b/>
          <w:color w:val="4A6B25"/>
          <w:sz w:val="20"/>
        </w:rPr>
        <w:t xml:space="preserve">3. </w:t>
      </w:r>
      <w:r>
        <w:rPr>
          <w:rFonts w:ascii="Calibri" w:hAnsi="Calibri"/>
          <w:b w:val="0"/>
          <w:color w:val="3A4A28"/>
          <w:sz w:val="20"/>
        </w:rPr>
        <w:t>Pending Levi &amp; Korsinsky investor investigation introduces legal and reputational uncertainty independent of underlying commercial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Zevra's revenue is anchored in a physically manufactured, tightly regulated specialty pharmaceutical with a narrow ultra-rare patient population identified through physician and patient-advocacy networks — a commercialization moat AI cannot substitute for [1][2]. No analyst commentary flags AI substitution risk for rare-disease drug commercialization. AI Opportunity (0/1): No quantified AI-related revenue or product deployment was found in available research.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Zevra Therapeutics Q2 2026 Earnings Release and 10-Q — Quiver Quantitative,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Zevra Therapeutics Q1 2026 Earnings Call Transcript — Investing.com, 2026</w:t>
      </w:r>
    </w:p>
    <w:p>
      <w:pPr>
        <w:spacing w:before="20" w:after="20"/>
        <w:ind w:left="170"/>
      </w:pPr>
      <w:r>
        <w:rPr>
          <w:rFonts w:ascii="Calibri" w:hAnsi="Calibri"/>
          <w:b/>
          <w:color w:val="4A6B25"/>
          <w:sz w:val="15"/>
        </w:rPr>
        <w:t xml:space="preserve">3. </w:t>
      </w:r>
      <w:r>
        <w:rPr>
          <w:rFonts w:ascii="Calibri" w:hAnsi="Calibri"/>
          <w:b w:val="0"/>
          <w:color w:val="3A4A28"/>
          <w:sz w:val="17"/>
        </w:rPr>
        <w:t>Zevra Therapeutics Leadership and CEO Neil McFarlane — investors.zevra.com, pharmaboardroom.com</w:t>
      </w:r>
    </w:p>
    <w:p>
      <w:pPr>
        <w:spacing w:before="20" w:after="20"/>
        <w:ind w:left="170"/>
      </w:pPr>
      <w:r>
        <w:rPr>
          <w:rFonts w:ascii="Calibri" w:hAnsi="Calibri"/>
          <w:b/>
          <w:color w:val="4A6B25"/>
          <w:sz w:val="15"/>
        </w:rPr>
        <w:t xml:space="preserve">4. </w:t>
      </w:r>
      <w:r>
        <w:rPr>
          <w:rFonts w:ascii="Calibri" w:hAnsi="Calibri"/>
          <w:b w:val="0"/>
          <w:color w:val="3A4A28"/>
          <w:sz w:val="17"/>
        </w:rPr>
        <w:t>Zevra Therapeutics EMA CHMP Negative Opinion on Arimoclomol — StockTitan, GuruFocus, Simply Wall St, July 2026</w:t>
      </w:r>
    </w:p>
    <w:p>
      <w:pPr>
        <w:spacing w:before="20" w:after="20"/>
        <w:ind w:left="170"/>
      </w:pPr>
      <w:r>
        <w:rPr>
          <w:rFonts w:ascii="Calibri" w:hAnsi="Calibri"/>
          <w:b/>
          <w:color w:val="4A6B25"/>
          <w:sz w:val="15"/>
        </w:rPr>
        <w:t xml:space="preserve">5. </w:t>
      </w:r>
      <w:r>
        <w:rPr>
          <w:rFonts w:ascii="Calibri" w:hAnsi="Calibri"/>
          <w:b w:val="0"/>
          <w:color w:val="3A4A28"/>
          <w:sz w:val="17"/>
        </w:rPr>
        <w:t>Levi &amp; Korsinsky Investigation Notice — Morningstar/PR Newswire, July 2026; Sustainalytics ESG Risk Rating</w:t>
      </w:r>
    </w:p>
    <w:p>
      <w:pPr>
        <w:spacing w:before="20" w:after="20"/>
        <w:ind w:left="170"/>
      </w:pPr>
      <w:r>
        <w:rPr>
          <w:rFonts w:ascii="Calibri" w:hAnsi="Calibri"/>
          <w:b/>
          <w:color w:val="4A6B25"/>
          <w:sz w:val="15"/>
        </w:rPr>
        <w:t xml:space="preserve">6. </w:t>
      </w:r>
      <w:r>
        <w:rPr>
          <w:rFonts w:ascii="Calibri" w:hAnsi="Calibri"/>
          <w:b w:val="0"/>
          <w:color w:val="3A4A28"/>
          <w:sz w:val="17"/>
        </w:rPr>
        <w:t>stockanalysis.com — ZVRA Statistics and Financials,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