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w:t>
      </w:r>
      <w:r>
        <w:rPr>
          <w:rFonts w:ascii="Calibri" w:hAnsi="Calibri"/>
          <w:b/>
          <w:color w:val="1A2010"/>
          <w:sz w:val="40"/>
        </w:rPr>
        <w:t xml:space="preserve">  Alcoa Corporation</w:t>
      </w:r>
    </w:p>
    <w:p>
      <w:pPr>
        <w:spacing w:after="120"/>
      </w:pPr>
      <w:r>
        <w:rPr>
          <w:rFonts w:ascii="Calibri" w:hAnsi="Calibri"/>
          <w:b/>
          <w:color w:val="6E8450"/>
          <w:sz w:val="18"/>
        </w:rPr>
        <w:t>GROWTH SLEEVE · 2026-08-21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Aluminum · NYSE · United States</w:t>
      </w:r>
    </w:p>
    <w:p>
      <w:pPr>
        <w:spacing w:after="80"/>
      </w:pPr>
      <w:r>
        <w:rPr>
          <w:rFonts w:ascii="Calibri" w:hAnsi="Calibri"/>
          <w:b w:val="0"/>
          <w:color w:val="3A4A28"/>
          <w:sz w:val="20"/>
        </w:rPr>
        <w:t>Alcoa Corporation is a global leader in bauxite mining, alumina refining, and aluminum production, operating across Australia, Brazil, Canada, Iceland, Norway, Spain, and the United States. Q2 2026 delivered record quarterly revenue of $3.97B (+24% YoY) driven by higher aluminum prices and increased shipments, with production records set at four smelters and one refinery. Net income was $407M. Management cut alumina production guidance due to Pinjarra refinery issues from Cyclone Narelle while keeping aluminum production targets intact. Market cap ~$13B.</w:t>
      </w:r>
    </w:p>
    <w:p>
      <w:r>
        <w:rPr>
          <w:rFonts w:ascii="Calibri" w:hAnsi="Calibri"/>
          <w:b/>
          <w:color w:val="6E8450"/>
          <w:sz w:val="18"/>
        </w:rPr>
        <w:t>14,900 Employees · https://www.alcoa.com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Alcoa completed the Alumina Limited acquisition in 2024 to consolidate its upstream alumina position and set production records at four smelters and one refinery in Q2 2026, demonstrating operational execution [1]. The pivot of 10 idled industrial sites to AI data center operators targeting $500M-$1B in proceeds is creative asset monetization [2]. However, core aluminum operations are fundamentally unchanged — Alcoa produces the same commodity through the same processes. AI Deployment (1/2): Alcoa deployed Fairmarkit's AI-driven autonomous sourcing platform across procurement in the US, Brazil, and Canada, achieving measurable cost savings and cycle time improvements [2]. The company also appointed a dedicated IT and Automation Solutions executive. No AI products are sold externally. Market Share (1/2): Alcoa is the world's largest alumina producer and a top-five global aluminum smelter, with record production demonstrating capacity leadership [1]. However, the company operates in a commodity market with limited pricing power versus Rio Tinto and China Hongqiao. Product Pipeline (1/2): The ELYSIS zero-carbon smelting JV with Rio Tinto represents breakthrough technology emitting oxygen instead of CO2, with Chief Strategy &amp; Innovation Officer Renato Bacchi overseeing the R&amp;D pipeline [3]. Commercial deployment is not expected before 2030. R&amp;D Intensity (1/1): Investment in ELYSIS and Refinery of the Future initiatives, plus the dedicated Chief Strategy &amp; Innovation Officer role, exceeds basic materials sector peers in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Alcoa's purpose of 'turning raw potential into real progress, advancing sustainability and shaping a better future through aluminum' is clear and industry-specific, connecting commodity production to environmental stewardship and industrial progress [3]. The ELYSIS zero-carbon smelting investment validates the sustainability commitment. However, the mission is not deeply distinctive — most materials companies articulate similar sustainability positions. Community Impact (1/2): Alcoa achieved 86% renewable electricity across global smelting operations, earned top 1% EcoVadis sustainability rating, and maintained zero fatalities in safety record [3]. However, 101 Ohio River water pollution permit violations (2018-2023) and multiple Superfund cleanup settlements create significant tension between stated values and operational reality [3]. Employee Retention (0/2): Glassdoor culture rating of 3.9/5 with 85% recommending is adequate but not exceptional. Executive team rated in the bottom 20% on Comparably, with reviews citing competitive senior leadership dynamics [2]. No specific retention or tenure data available. Insider Buying (0/2): Recent insider activity consists exclusively of stock awards/grants rather than open-market purchases. No meaningful net insider buying with personal capital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Alcoa delivered record Q2 2026 revenue of $3.97B (+24% YoY) with net income of $407M, following Q1 net income of $425M [1]. D/E of 30.19% is well below the 70% target, reflecting a strong balance sheet with active debt reduction ($219M senior notes redeemed in May 2026). Forward P/E of 8.07 scores perfectly against the 20x target, and PEG of approximately 0.75 is well below the 1.0 target with 2x weight [4]. ROE of 18.91% exceeds the 15% target. Revenue growth YoY of 24% in Q2 2026 is exceptional, driven by higher aluminum prices and increased shipments. Primary drags: profit margin of 9.16% is below the 20% target (reflecting commodity-business margins), and 5-year revenue CAGR of approximately 2% reflects aluminum's inherent cyclicality. The stock easily clears the liquidity floor with approximately $272M in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Alcoa under CEO Roy Harvey demonstrates disciplined long-term thinking through the ELYSIS zero-carbon smelting technology investment with Rio Tinto and a 'value over volume' capital allocation strategy, but the company's commodity-driven cyclicality and environmental violations create tension between stated sustainability values and operational reality. The record Q2 2026 production and strong financial results reflect operational excellence, while the 138-year Alcoa heritage lends credibility to institutional endurance — though the current entity was only spun off in 2016.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'Advancing sustainability through aluminum' connects production to environmental stewardship, but it is fundamentally a commodity business purpose — Alcoa exists to mine bauxite and produce aluminum. The ELYSIS zero-carbon smelting investment with Rio Tinto is admirable and could transform the industry's environmental footprint, but it serves the business model (lower costs, regulatory compliance, premium positioning) as much as a transcendent cause [3]. The 101 water pollution violations undermine the sustainability narrative, suggesting the cause is aspirational rather than consistently operational.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Alcoa's zero fatalities safety record and Glassdoor rating of 3.9/5 with 85% recommending suggest a functional, safety-conscious organizational culture rooted in Paul O'Neill's legendary safety transformation of the 1987-1999 era [2]. Stable leadership under CEO Harvey provides continuity, and the appointment of a Chief Strategy &amp; Innovation Officer signals organizational investment in long-term capability. However, the Comparably bottom-20% executive team rating indicates trust deficits at the management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ELYSIS zero-carbon smelting JV with Rio Tinto — Alcoa's largest competitor — exemplifies Sinek's worthy rival concept. Instead of competing to destroy a rival, Alcoa collaborated with its biggest competitor to advance the entire industry toward carbon-free aluminum production [3]. This partnership reflects an infinite-game mindset where improving the industry takes precedence over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Converting idled smelter sites to AI data center facilities demonstrates adaptive thinking — transforming stranded industrial assets with high-voltage grid connections into high-value infrastructure for the AI era [2]. The Alumina Limited acquisition consolidated the upstream position, and the ELYSIS technology investment positions Alcoa for a potential industry transformation. These are meaningful adaptations, but the core business remains aluminum production with no transformative reinvention of the kind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Alcoa's 'value over volume' strategy demonstrates disciplined capacity management — restarting San Ciprian smelter while ruling out greenfield expansion, redeeming $219M of debt despite strong earnings, and maintaining a conservative balance sheet (D/E 30%) in an industry prone to boom-cycle over-investment [1]. The ELYSIS zero-carbon smelting investment is a costly long-term bet with no commercial payoff before 2030 [3]. However, the $0.10/quarter flat dividend since inception ($0.40/year, 0.78% yield) suggests conservative capital return rather than courageous shareholder alignment.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Alcoa at 8.07x forward earnings delivered record Q2 2026 revenue of $3.97B (+24% YoY) and net income of $407M, setting production records at four smelters and one refinery [1]. The balance sheet is clean with D/E of 30.19% and active debt reduction, while ROE of 18.91% exceeds the 15% target. Aluminum prices above $4,000/mt and 11% lower adjusted operating costs demonstrate genuine margin expansion beyond commodity price tailwinds [1]. The data center brownfield site conversion targeting $500M-$1B in proceeds could unlock significant non-core asset value as AI infrastructure demand surges [2]. The ELYSIS zero-carbon smelting JV with Rio Tinto positions Alcoa for premium pricing and regulatory advantages as global carbon pricing expands [3]. PEG of approximately 0.75 suggests the cyclical earnings recovery is not yet fully priced in.</w:t>
      </w:r>
    </w:p>
    <w:p>
      <w:pPr>
        <w:spacing w:after="120"/>
      </w:pPr>
      <w:r>
        <w:rPr>
          <w:rFonts w:ascii="Calibri" w:hAnsi="Calibri"/>
          <w:b w:val="0"/>
          <w:color w:val="3A4A28"/>
          <w:sz w:val="20"/>
        </w:rPr>
        <w:t>The bear case centers on aluminum's inescapable cyclicality — Alcoa's Q1 2026 alumina segment EBITDA swung from $664M profit to a $40M loss as alumina prices plunged 43% YoY, and the Pinjarra refinery shutdown from Cyclone Narelle forced management to cut alumina production guidance [1]. A global recession could push aluminum prices below $2,500/mt, compressing the already-thin 9.16% profit margin toward breakeven. The 5-year revenue CAGR of approximately 2% exposes the structural growth challenge — Alcoa's revenue is commodity-price-dependent, not demand-driven, making earnings inherently unpredictable. Environmental liabilities remain material: 101 water pollution violations at Warrick County and multiple Superfund settlements represent ongoing financial and reputational risk [3]. The $0.40 annual dividend (0.78% yield) provides negligible income, and flat dividends since initiation signal minimal commitment to shareholder returns growth.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Q2 2026 production at four smelters and one refinery, combined with aluminum prices above $4,000/mt and 11% lower adjusted operating costs, positions Alcoa for continued strong earnings if commodity conditions hold [1]</w:t>
      </w:r>
    </w:p>
    <w:p>
      <w:pPr>
        <w:spacing w:before="40" w:after="40"/>
        <w:ind w:left="283"/>
      </w:pPr>
      <w:r>
        <w:rPr>
          <w:rFonts w:ascii="Calibri" w:hAnsi="Calibri"/>
          <w:b/>
          <w:color w:val="4A6B25"/>
          <w:sz w:val="20"/>
        </w:rPr>
        <w:t xml:space="preserve">2. </w:t>
      </w:r>
      <w:r>
        <w:rPr>
          <w:rFonts w:ascii="Calibri" w:hAnsi="Calibri"/>
          <w:b w:val="0"/>
          <w:color w:val="3A4A28"/>
          <w:sz w:val="20"/>
        </w:rPr>
        <w:t>Data center brownfield site sales targeting $500M-$1B in proceeds from converting idled industrial sites with high-voltage grid connections to AI infrastructure, with hyperscale operator demand accelerating [2]</w:t>
      </w:r>
    </w:p>
    <w:p>
      <w:pPr>
        <w:spacing w:before="40" w:after="40"/>
        <w:ind w:left="283"/>
      </w:pPr>
      <w:r>
        <w:rPr>
          <w:rFonts w:ascii="Calibri" w:hAnsi="Calibri"/>
          <w:b/>
          <w:color w:val="4A6B25"/>
          <w:sz w:val="20"/>
        </w:rPr>
        <w:t xml:space="preserve">3. </w:t>
      </w:r>
      <w:r>
        <w:rPr>
          <w:rFonts w:ascii="Calibri" w:hAnsi="Calibri"/>
          <w:b w:val="0"/>
          <w:color w:val="3A4A28"/>
          <w:sz w:val="20"/>
        </w:rPr>
        <w:t>ELYSIS zero-carbon smelting technology JV with Rio Tinto, positioning Alcoa for premium 'green aluminum' pricing and regulatory advantages as carbon pricing expands globally and ESG-conscious buyers pay premiums for low-carbon materials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Aluminum price cyclicality remains the dominant risk — the 43% YoY collapse in alumina prices in Q1 2026 and Pinjarra refinery shutdown from Cyclone Narelle forcing production guidance cuts demonstrate the business model's extreme commodity and operational sensitivity [1]</w:t>
      </w:r>
    </w:p>
    <w:p>
      <w:pPr>
        <w:spacing w:before="40" w:after="40"/>
        <w:ind w:left="283"/>
      </w:pPr>
      <w:r>
        <w:rPr>
          <w:rFonts w:ascii="Calibri" w:hAnsi="Calibri"/>
          <w:b/>
          <w:color w:val="4A6B25"/>
          <w:sz w:val="20"/>
        </w:rPr>
        <w:t xml:space="preserve">2. </w:t>
      </w:r>
      <w:r>
        <w:rPr>
          <w:rFonts w:ascii="Calibri" w:hAnsi="Calibri"/>
          <w:b w:val="0"/>
          <w:color w:val="3A4A28"/>
          <w:sz w:val="20"/>
        </w:rPr>
        <w:t>Profit margin of 9.16% leaves minimal buffer in a commodity downturn — a recession-driven aluminum price decline to $2,500/mt would push margins toward breakeven and expose the leveraged cost structure [1][4]</w:t>
      </w:r>
    </w:p>
    <w:p>
      <w:pPr>
        <w:spacing w:before="40" w:after="40"/>
        <w:ind w:left="283"/>
      </w:pPr>
      <w:r>
        <w:rPr>
          <w:rFonts w:ascii="Calibri" w:hAnsi="Calibri"/>
          <w:b/>
          <w:color w:val="4A6B25"/>
          <w:sz w:val="20"/>
        </w:rPr>
        <w:t xml:space="preserve">3. </w:t>
      </w:r>
      <w:r>
        <w:rPr>
          <w:rFonts w:ascii="Calibri" w:hAnsi="Calibri"/>
          <w:b w:val="0"/>
          <w:color w:val="3A4A28"/>
          <w:sz w:val="20"/>
        </w:rPr>
        <w:t>Environmental litigation exposure — 101 water pollution violations at Warrick County, multiple Superfund cleanup obligations, and ongoing regulatory risk in an increasingly ESG-conscious environment create material contingent liabilities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Aluminum production is a physical-world industrial process that AI structurally cannot substitute — mining bauxite, refining alumina, and smelting aluminum require massive capital infrastructure, complex metallurgical processes, and enormous energy inputs that no software can replicate [1]. AI poses zero substitution risk to Alcoa's core business. In fact, AI data center construction INCREASES demand for aluminum through cooling systems, structural components, and power infrastructure. Alcoa is directly benefiting from AI infrastructure buildout by converting 10 idled industrial sites with high-voltage grid connections into turnkey facilities for hyperscale data center operators, targeting $500M-$1B in proceeds [2]. Record production at four smelters in Q2 2026 demonstrates the physical-world capacity that is immune to digital disruption. AI Opportunity (0/1): Alcoa does not generate direct AI revenue — the company produces aluminum and refines alumina. The data center site leasing represents infrastructure monetization, and the Fairmarkit procurement AI is an internal cost-saving tool, not customer-facing AI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Alcoa Corporation Q2 2026 Results — Record Revenue $3.97B (+24% YoY), Net Income $407M, Production Records at 4 Smelters, Alumina Guidance Cut (Pinjarra/Cyclone Narelle), July 2026</w:t>
      </w:r>
    </w:p>
    <w:p>
      <w:pPr>
        <w:spacing w:before="20" w:after="20"/>
        <w:ind w:left="170"/>
      </w:pPr>
      <w:r>
        <w:rPr>
          <w:rFonts w:ascii="Calibri" w:hAnsi="Calibri"/>
          <w:b/>
          <w:color w:val="4A6B25"/>
          <w:sz w:val="15"/>
        </w:rPr>
        <w:t xml:space="preserve">2. </w:t>
      </w:r>
      <w:r>
        <w:rPr>
          <w:rFonts w:ascii="Calibri" w:hAnsi="Calibri"/>
          <w:b w:val="0"/>
          <w:color w:val="3A4A28"/>
          <w:sz w:val="17"/>
        </w:rPr>
        <w:t>Alcoa AI Data Center Infrastructure Pivot — 10 Brownfield Sites, Fairmarkit AI Procurement, CEO Strategy, Leadership Appointments (Bacchi, Beerman), 2025-2026</w:t>
      </w:r>
    </w:p>
    <w:p>
      <w:pPr>
        <w:spacing w:before="20" w:after="20"/>
        <w:ind w:left="170"/>
      </w:pPr>
      <w:r>
        <w:rPr>
          <w:rFonts w:ascii="Calibri" w:hAnsi="Calibri"/>
          <w:b/>
          <w:color w:val="4A6B25"/>
          <w:sz w:val="15"/>
        </w:rPr>
        <w:t xml:space="preserve">3. </w:t>
      </w:r>
      <w:r>
        <w:rPr>
          <w:rFonts w:ascii="Calibri" w:hAnsi="Calibri"/>
          <w:b w:val="0"/>
          <w:color w:val="3A4A28"/>
          <w:sz w:val="17"/>
        </w:rPr>
        <w:t>Alcoa ESG Profile — 86% Renewable Electricity, ELYSIS Zero-Carbon Smelting JV with Rio Tinto, Environmental Violations (101 water permits), EcoVadis Top 1%,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AA Key Statistics: Forward P/E 8.07x, ROE 18.91%, D/E 30.19%, Profit Margin 9.16%, Stock Price $51.20,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