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ABBV</w:t>
      </w:r>
      <w:r>
        <w:rPr>
          <w:rFonts w:ascii="Calibri" w:hAnsi="Calibri"/>
          <w:b/>
          <w:color w:val="1A2010"/>
          <w:sz w:val="40"/>
        </w:rPr>
        <w:t xml:space="preserve">  AbbVie Inc.</w:t>
      </w:r>
    </w:p>
    <w:p>
      <w:pPr>
        <w:spacing w:after="120"/>
      </w:pPr>
      <w:r>
        <w:rPr>
          <w:rFonts w:ascii="Calibri" w:hAnsi="Calibri"/>
          <w:b/>
          <w:color w:val="6E8450"/>
          <w:sz w:val="18"/>
        </w:rPr>
        <w:t>DIVIDEND SLEEVE · 2026-08-21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Major · NYSE · United States</w:t>
      </w:r>
    </w:p>
    <w:p>
      <w:pPr>
        <w:spacing w:after="80"/>
      </w:pPr>
      <w:r>
        <w:rPr>
          <w:rFonts w:ascii="Calibri" w:hAnsi="Calibri"/>
          <w:b w:val="0"/>
          <w:color w:val="3A4A28"/>
          <w:sz w:val="20"/>
        </w:rPr>
        <w:t>AbbVie Inc. is a global biopharmaceutical company focused on developing and delivering innovative therapies in immunology, oncology, neuroscience, and eye care. Key products include Skyrizi, Rinvoq, Humira, Botox, and Vraylar. Q2 2026 delivered $16.6B revenue (+10% YoY) with Skyrizi reaching $5.0B quarterly (+32.5%) and Rinvoq at $2.4B (+29.5%). Neuroscience revenue grew 17.9% to $3.0B. Humira continued declining -25.9% but is now less than 15% of total revenue. Spun off from Abbott Laboratories in 2013. CEO Robert A. Michael, with founding CEO Rick Gonzalez as executive chairman. Market cap approximately $430B.</w:t>
      </w:r>
    </w:p>
    <w:p>
      <w:r>
        <w:rPr>
          <w:rFonts w:ascii="Calibri" w:hAnsi="Calibri"/>
          <w:b/>
          <w:color w:val="6E8450"/>
          <w:sz w:val="18"/>
        </w:rPr>
        <w:t>57,000 Employees · https://www.abbvie.com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AbbVie has executed arguably the most successful patent cliff transition in pharmaceutical history. The Humira-to-Skyrizi/Rinvoq franchise replacement is now proven beyond doubt — Q2 2026 combined Skyrizi ($5.006B, +32.5%) and Rinvoq ($2.374B, +29.5%) quarterly revenue of $7.38B exceeds Humira's peak quarterly run rate by approximately 50% [1]. The $63B Allergan acquisition in 2020 added Botox and neuroscience diversification, with the neuroscience portfolio now generating $2.96B quarterly (+17.9%). This represents a transformative reinvention of the company from a single-product dependency to a diversified biopharma franchise. AI Deployment (0/2): No evidence of AI-powered products shipping to customers or specific AI-driven cost savings reported. AbbVie acknowledges AI as strategically important and uses AI tools in drug discovery pipelines, but no quantified results have been disclosed. The 10-K risk factors warn that failure to adopt AI could adversely affect business [2]. Market Share (2/2): Skyrizi is the #1 prescribed biologic for plaque psoriasis with 32.5% quarterly growth [1]; Rinvoq is gaining rapid share in rheumatoid arthritis and atopic dermatitis at 29.5% growth. Botox maintains dominant market share in both aesthetics and therapeutics. These are category-defining franchises. Product Pipeline (1/2): Multiple pipeline candidates in immunology, oncology (Epkinly, teliso-V), and neuroscience (emraclidine for schizophrenia). However, no specific next-gen franchise-scale molecule with named launch dates and revenue visibility comparable to a Skyrizi/Rinvoq successor has been identified. R&amp;D Intensity (1/1): R&amp;D spending of approximately $8-9B annually (~13% of revenue), well above the pharma industry average of 8-10% and demonstrating sustained commitment to therapeutic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AbbVie's stated purpose is to 'discover and deliver innovative medicines and solutions that solve serious health issues today and address the medical challenges of tomorrow.' Clear and identifies the therapeutic impact, but not deeply distinctive — it does not articulate a transformative purpose or differentiate from pharma peers. The founding CHRO built the 'Ways We Work' culture framework on five pillars (All for one AbbVie, Decide smart and sure, Agile and accountable, Clear and courageous), showing intentionality in culture design [2]. Community Impact (1/2): AbbVie Foundation supports community programs with $60M+ in charitable giving. Patient access programs reduce drug costs for eligible patients. General corporate philanthropy without a signature outsized commitment relative to peers [3]. Employee Retention (1/2): Fortune 100 Best Companies to Work For — Europe list recognition. Glassdoor reviews are mixed — some cite 'Great culture and does right by employees' while others describe 'Toxic Workplace and Unethical Hiring Practices' and concerns about leadership transparency [2]. The 75% Glassdoor recommendation rate (3.8/5) is average for large pharma. Insider Buying (0/2): Significant insider selling with no open-market insider buying identified in recent quarters, signaling limited management conviction at current stock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AbbVie delivered H1 2026 revenue of $32.0B (+11% YoY), with Q2 at $16.6B (+10% YoY) and improving GAAP profitability as Allergan intangible amortization diminishes [1]. Forward P/E of 17.82 is just below the 20x target, scoring well. Revenue growth YoY of 10% meets the target. Consecutive dividend history of 54 years paid and 54 years growth (inheriting Abbott's legacy) scores perfectly with combined 3x weight. The 5-year dividend growth CAGR of 6.6% exceeds the 6% target with 2x weight [4]. Primary drags: D/E and ROE are not meaningful and excluded from scoring due to AbbVie's negative stockholders' equity (result of $63B Allergan acquisition creating massive goodwill against aggressive capital returns). GAAP profit margin of approximately 10% is below the 20% target but improving from 5.79% in Q1 as amortization impact diminishes. GAAP payout ratio exceeds the 100% floor (scored 0), though adjusted payout of approximately 50% is well-covered by free cash flow. The stock easily clears the liquidity floor with approximately $1.4B in daily dollar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AbbVie demonstrates meaningful infinite game characteristics — most notably the successful multi-year transition from Humira dependency to the Skyrizi/Rinvoq growth engine, which required sustained investment through a period of declining core revenue. Q2 2026 results (Skyrizi $5B, Rinvoq $2.4B) validate the long-term strategic bet. The $63B Allergan acquisition was a bold diversification move. However, the aggressive financial engineering that produced negative stockholders' equity, combined with insider selling and a relatively short history as an independent company (since 2013), suggests management balances long-term strategic thinking with significant near-term shareholder return priorities.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AbbVie has a genuine purpose of improving patients' lives through therapeutic innovation. The successful Humira-to-Skyrizi/Rinvoq transition demonstrates strategic commitment to long-term therapeutic leadership rather than short-term revenue optimization — management invested billions in Skyrizi and Rinvoq R&amp;D during the Humira decline rather than cutting costs [1]. However, the purpose hasn't been tested through multi-decade consistency as an independent company — AbbVie only spun off from Abbott in 2013, and the opioid litigation inherited from the $63B Allergan acquisition (approximately 320 pending lawsuits) creates tension with the healthcare mission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Fortune Best Companies to Work For — Europe recognition, and the founding CHRO's 'Ways We Work' framework demonstrates institutional commitment to culture [2]. The 57,000-person workforce operates under a leadership team with meaningful tenure — CEO Robert Michael was an internal promotion, and founding CEO Gonzalez remains as executive chairman providing continuity. However, Glassdoor reviews are mixed with complaints about leadership transparency, shifting expectations, and some describing 'Toxic Workplace' dynamics [2]. The 75% recommendation rate (3.8/5) is average for large pharma.</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AbbVie competes constructively against J&amp;J, Eli Lilly, Amgen, and Roche, acknowledging competitive dynamics in immunology and oncology without dismissive language. The company's strategic pivots (Allergan acquisition, pipeline diversification into neuroscience and oncology) reflect a learning orientation toward rivals' strengths and therapeutic capabilities rather than a finite-game posture of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AbbVie successfully pivoted from near-total Humira dependency to the Skyrizi/Rinvoq growth engine — Q2 2026 combined revenue of $7.38B quarterly now exceeds Humira's peak by approximately 50% [1]. The $63B Allergan acquisition diversified beyond immunology into aesthetics and neuroscience, with the neuroscience portfolio growing 17.9% to $3.0B quarterly. However, these represent strategic evolution within pharma's standard playbook — acquiring and developing molecules —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$63B Allergan acquisition in 2020 was a bold bet on diversification during the peak of Humira's patent cliff uncertainty. Management sustained $8-9B annual R&amp;D spending through the biosimilar storm rather than cutting investment [2]. Raising full-year 2026 guidance demonstrates confidence in execution. However, the aggressive financial engineering — negative stockholders' equity from buybacks and dividends funded by leverage rather than organic retention — suggests prioritizing near-term shareholder returns over balance sheet resilience. The $68.4B debt load constrains strategic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AbbVie has executed the most successful patent cliff transition in pharmaceutical history — Q2 2026 combined Skyrizi ($5.006B, +32.5%) and Rinvoq ($2.374B, +29.5%) quarterly revenue of $7.38B now exceeds Humira's peak quarterly run rate by approximately 50% [1]. H1 2026 revenue of $32B (+11% YoY) with neuroscience growing 17.9% to $3B quarterly demonstrates the Allergan acquisition is contributing meaningful diversification. Forward P/E of 17.82 at PEG of 1.09 represents reasonable valuation for a diversified pharma franchise with multiple growth engines [4]. With 54 consecutive years of dividend increases and a 6.6% 5-year growth CAGR, AbbVie is an anchor dividend compounder generating reliable income. GAAP profitability is improving as Allergan intangible amortization diminishes — trailing P/E dropped from 104x to 70x in one quarter, reflecting the earnings normalization trajectory. EPS growth of 69.4% signals accelerating earnings recovery.</w:t>
      </w:r>
    </w:p>
    <w:p>
      <w:pPr>
        <w:spacing w:after="120"/>
      </w:pPr>
      <w:r>
        <w:rPr>
          <w:rFonts w:ascii="Calibri" w:hAnsi="Calibri"/>
          <w:b w:val="0"/>
          <w:color w:val="3A4A28"/>
          <w:sz w:val="20"/>
        </w:rPr>
        <w:t>The primary concern remains balance sheet leverage. AbbVie carries approximately $68.4B in debt against negative stockholders' equity, the result of the $63B Allergan acquisition combined with aggressive share buybacks and dividends funded by leverage [3]. The GAAP payout ratio of 188% (GAAP EPS of approximately $3.49 versus $6.56 dividend) exceeds the scoring floor, though adjusted payout of approximately 50% is well-covered by free cash flow. Skyrizi and Rinvoq face their own eventual biosimilar cliffs in the 2030s, and the pipeline currently lacks a clear next franchise-scale molecule to replace them. Approximately 320 opioid-related lawsuits are pending against Allergan (inherited by AbbVie), representing ongoing litigation risk [3]. Revenue growth YoY of 10% and a 5-year CAGR of approximately 3% are modest for the premium valuation, and Humira's continued 25.9% decline creates a mathematical headwind that the growth franchises must overcome each quarter. The Inspire Impact Score of -88 (MISALIGNED) with negative attributions including Abortifacients and Embryonic Stem Cells makes this a challenging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Skyrizi and Rinvoq combined quarterly revenue trajectory of $7.38B (+31% blended growth) positions the franchise toward $30B+ annual run-rate by 2027, driven by label expansions in Crohn's disease, ulcerative colitis, and additional autoimmune indications [1]</w:t>
      </w:r>
    </w:p>
    <w:p>
      <w:pPr>
        <w:spacing w:before="40" w:after="40"/>
        <w:ind w:left="283"/>
      </w:pPr>
      <w:r>
        <w:rPr>
          <w:rFonts w:ascii="Calibri" w:hAnsi="Calibri"/>
          <w:b/>
          <w:color w:val="4A6B25"/>
          <w:sz w:val="20"/>
        </w:rPr>
        <w:t xml:space="preserve">2. </w:t>
      </w:r>
      <w:r>
        <w:rPr>
          <w:rFonts w:ascii="Calibri" w:hAnsi="Calibri"/>
          <w:b w:val="0"/>
          <w:color w:val="3A4A28"/>
          <w:sz w:val="20"/>
        </w:rPr>
        <w:t>GAAP earnings normalization accelerating — trailing P/E compressed from 104x to 70x in one quarter as Allergan amortization diminishes, with EPS growth of 69.4% signaling the path toward economic earnings convergence with adjusted metrics [4]</w:t>
      </w:r>
    </w:p>
    <w:p>
      <w:pPr>
        <w:spacing w:before="40" w:after="40"/>
        <w:ind w:left="283"/>
      </w:pPr>
      <w:r>
        <w:rPr>
          <w:rFonts w:ascii="Calibri" w:hAnsi="Calibri"/>
          <w:b/>
          <w:color w:val="4A6B25"/>
          <w:sz w:val="20"/>
        </w:rPr>
        <w:t xml:space="preserve">3. </w:t>
      </w:r>
      <w:r>
        <w:rPr>
          <w:rFonts w:ascii="Calibri" w:hAnsi="Calibri"/>
          <w:b w:val="0"/>
          <w:color w:val="3A4A28"/>
          <w:sz w:val="20"/>
        </w:rPr>
        <w:t>Pipeline catalysts in oncology (Epkinly, teliso-V) and neuroscience (emraclidine for schizophrenia) could diversify revenue beyond immunology concentration and extend growth visibility past the Skyrizi/Rinvoq patent cliff in the 2030s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stockholders' equity and $68.4B total debt create financial fragility — the 54-year dividend streak requires approximately $11B annually in dividends plus debt service, and any revenue miss or pipeline failure could pressure the payout sustainability [3]</w:t>
      </w:r>
    </w:p>
    <w:p>
      <w:pPr>
        <w:spacing w:before="40" w:after="40"/>
        <w:ind w:left="283"/>
      </w:pPr>
      <w:r>
        <w:rPr>
          <w:rFonts w:ascii="Calibri" w:hAnsi="Calibri"/>
          <w:b/>
          <w:color w:val="4A6B25"/>
          <w:sz w:val="20"/>
        </w:rPr>
        <w:t xml:space="preserve">2. </w:t>
      </w:r>
      <w:r>
        <w:rPr>
          <w:rFonts w:ascii="Calibri" w:hAnsi="Calibri"/>
          <w:b w:val="0"/>
          <w:color w:val="3A4A28"/>
          <w:sz w:val="20"/>
        </w:rPr>
        <w:t>Approximately 320 opioid-related lawsuits pending against Allergan (inherited by AbbVie) represent material contingent litigation exposure, though management believes ultimate disposition should not be material to financial position [3]</w:t>
      </w:r>
    </w:p>
    <w:p>
      <w:pPr>
        <w:spacing w:before="40" w:after="40"/>
        <w:ind w:left="283"/>
      </w:pPr>
      <w:r>
        <w:rPr>
          <w:rFonts w:ascii="Calibri" w:hAnsi="Calibri"/>
          <w:b/>
          <w:color w:val="4A6B25"/>
          <w:sz w:val="20"/>
        </w:rPr>
        <w:t xml:space="preserve">3. </w:t>
      </w:r>
      <w:r>
        <w:rPr>
          <w:rFonts w:ascii="Calibri" w:hAnsi="Calibri"/>
          <w:b w:val="0"/>
          <w:color w:val="3A4A28"/>
          <w:sz w:val="20"/>
        </w:rPr>
        <w:t>Skyrizi and Rinvoq face their own biosimilar cliffs in the 2030s — the pipeline must produce a next franchise-scale molecule within the next 5-7 years, and no candidate of that magnitude is currently visible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 and biopharma are structurally immune to AI disruption of core revenue streams. AI cannot manufacture biologics, conduct physical clinical trials, navigate FDA regulatory approval, or replace physician-prescribed therapeutic relationships [1]. AbbVie's branded biologic portfolio (Skyrizi, Rinvoq, Botox) requires deep scientific expertise, massive capital investment in manufacturing, cold-chain logistics, and decades of institutional knowledge that AI cannot replicate. The regulatory moat of FDA-approved drugs with patent protection is impervious to AI substitution. AI may accelerate drug discovery timelines, but this helps rather than threatens the business model. AbbVie's 10-K acknowledges AI as a competitive factor, noting that 'competitors' advancements in AI may lead to more efficient operations if AbbVie fails to implement these technologies effectively' — but this is about operational efficiency, not business model disruption [2]. AI Opportunity (0/1): AbbVie is deploying AI in drug discovery pipelines and clinical trial optimization, but no quantified AI-specific product revenue or measurable cost savings have been publicly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AbbVie Q2 2026 10-Q Filing — Revenue $16.6B (+10% YoY), Skyrizi $5.006B (+32.5%), Rinvoq $2.374B (+29.5%), Neuroscience $2.961B (+17.9%), SEC Filing/StockTitan,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AbbVie Leadership, Culture, AI Strategy, Glassdoor Reviews — abbvie.com, Glassdoor (3.8/5, 75% recommend), HR Executive (founding CHRO culture article), 2025-2026</w:t>
      </w:r>
    </w:p>
    <w:p>
      <w:pPr>
        <w:spacing w:before="20" w:after="20"/>
        <w:ind w:left="170"/>
      </w:pPr>
      <w:r>
        <w:rPr>
          <w:rFonts w:ascii="Calibri" w:hAnsi="Calibri"/>
          <w:b/>
          <w:color w:val="4A6B25"/>
          <w:sz w:val="15"/>
        </w:rPr>
        <w:t xml:space="preserve">3. </w:t>
      </w:r>
      <w:r>
        <w:rPr>
          <w:rFonts w:ascii="Calibri" w:hAnsi="Calibri"/>
          <w:b w:val="0"/>
          <w:color w:val="3A4A28"/>
          <w:sz w:val="17"/>
        </w:rPr>
        <w:t>AbbVie ESG Profile, Opioid Litigation (~320 Allergan lawsuits pending), MSCI ESG Rating BBB — SEC 10-Q, KnowESG, Yahoo Finance Sustainability,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 ABBV Key Statistics: Forward P/E 17.82x, Trailing P/E 69.96x, Stock Price $244.11, Dividend Yield 2.69%, 54 Consecutive Years Increases,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