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w:t>
      </w:r>
      <w:r>
        <w:rPr>
          <w:rFonts w:ascii="Calibri" w:hAnsi="Calibri"/>
          <w:b/>
          <w:color w:val="1A2010"/>
          <w:sz w:val="40"/>
        </w:rPr>
        <w:t xml:space="preserve">  Avino Silver &amp; Gold Mines Ltd.</w:t>
      </w:r>
    </w:p>
    <w:p>
      <w:pPr>
        <w:spacing w:after="120"/>
      </w:pPr>
      <w:r>
        <w:rPr>
          <w:rFonts w:ascii="Calibri" w:hAnsi="Calibri"/>
          <w:b/>
          <w:color w:val="6E8450"/>
          <w:sz w:val="18"/>
        </w:rPr>
        <w:t>GROWTH SLEEVE · 2026-08-22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Mining · NYSE · Canada</w:t>
      </w:r>
    </w:p>
    <w:p>
      <w:pPr>
        <w:spacing w:after="80"/>
      </w:pPr>
      <w:r>
        <w:rPr>
          <w:rFonts w:ascii="Calibri" w:hAnsi="Calibri"/>
          <w:b w:val="0"/>
          <w:color w:val="3A4A28"/>
          <w:sz w:val="20"/>
        </w:rPr>
        <w:t>Avino Silver &amp; Gold Mines Ltd. is a Canadian mining company focused on silver and gold production in Mexico. The company operates the Avino Mine in Durango, Mexico, and is advancing its growth strategy to become a Mexico-focused mid-tier primary silver producer with inaugural mineral reserves of 127 million silver equivalent ounces.</w:t>
      </w:r>
    </w:p>
    <w:p>
      <w:r>
        <w:rPr>
          <w:rFonts w:ascii="Calibri" w:hAnsi="Calibri"/>
          <w:b/>
          <w:color w:val="6E8450"/>
          <w:sz w:val="18"/>
        </w:rPr>
        <w:t>650 Employees · https://www.avino.com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Avino completed its inaugural NI 43-101 mineral reserve estimate of 127 million silver equivalent ounces in 2026, a transformational milestone that transitions the company from an exploration-stage junior to a reserves-backed producer with multi-decade mine life [1]. AI Deployment (0/2): No evidence of AI deployment in mining operations, processing, or exploration — the company relies on traditional geological and metallurgical methods. Market Share Leadership (0/2): Avino is a small-scale producer with ~$130M annualized revenue, far below mid-tier peers like First Majestic Silver or Pan American Silver in market share. Product Pipeline (1/2): Management has articulated a specific growth plan targeting mid-tier status through the La Preciosa project and Avino mine expansion, though timelines and revenue visibility remain general [2]. R&amp;D Intensity (0/1): No meaningful R&amp;D spending beyond standard exploration expenditures.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Avino's stated purpose — to become a mid-tier primary silver producer in Mexico — is a business aspiration rather than a mission. It describes what the company wants to achieve commercially, interchangeable with any growth-stage mining company. Community Impact (1/2): Avino aligns its CSR initiatives with UN Sustainable Development Goals and maintains community programs in Durango, Mexico, though specific program details and dollar amounts are not prominently disclosed [6]. Employee Retention (1/2): Management average tenure of 8.3 years is solid for a junior mining company, with CEO David Wolfin leading since 2010 (16 years), suggesting organizational stability [4]. Insider Buying (0/2): CEO owns 2.85% of shares, but no specific evidence of recent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Avino's infrastructure scores exceptionally due to near-zero debt (D/E 3.04%), strong ROE of 21.05%, high profit margins of 38.2% driven by elevated silver prices, and explosive revenue growth of ~60% YoY with Q1 2026 revenue surging 109% to a record $39.4M [1][3]. Forward P/E of 25.1 is the only drag, reflecting the market's premium pricing of the silver rally. The company has a fortress balance sheet with $139M cash and $140M working capital against minimal debt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Avino operates with a finite growth mindset focused on scaling from junior to mid-tier producer status. CEO Wolfin's 16-year tenure provides stability, but the company's strategy is defined by production targets and resource expansion rather than a transcendent purpose. Strategic decisions are driven by silver price cycles and capital allocation optimization rather than a deeper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Avino's aspiration to become a Mexico-focused mid-tier primary silver producer is a finite business goal, not a Just Cause in Sinek's framework [2]. The vision describes a desired market position rather than a future state worth sacrificing for. There is no articulated purpose beyond growth — no connection to broader societal impact, sustainability leadership, or industry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average tenure of 8.3 years is strong for a junior mining company, suggesting organizational stability and reasonable trust levels [4]. The recent appointment of Marc Turcotte as SVP Corporate Development and promotion of Peter Latta to SVP Technical Services indicate investment in internal capability building. However, no specific evidence of exceptional psychological safety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public evidence of an infinite competitive mindset. Avino's communications frame success in finite terms — production milestones, resource ounces, and revenue records — without reference to learning from competitors like First Majestic Silver or Pan American Silver. The competitive posture is about reaching mid-tier status, a positional goal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Avino has evolved from a dormant legacy mine to an active producer over the past decade, demonstrating adaptability by reopening and expanding the Avino mine and advancing La Preciosa [1]. However, the transformation is incremental within the same industry — mining silver in Mexico — rather than a pivot driven by deeper purpose. The BDC structure itself limits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Wolfin maintained operations and continued exploration spending during silver price downturns from 2015-2019, demonstrating willingness to invest counter-cyclically when many junior miners suspended operations [4]. The decision to pursue a formal NI 43-101 reserve estimate — a costly multi-year process — showed long-term conviction. However, these decisions were commercially rational rather than purpose-driven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Avino Silver is riding the silver price supercycle with record Q1 2026 revenue of $39.4M (up 109% YoY), net income of $15.9M, and a fortress balance sheet of $139M cash against near-zero debt [1]. The inaugural mineral reserve estimate of 127M silver equivalent ounces provides multi-decade mine life visibility and positions Avino for institutional investor interest as it transitions from junior to mid-tier producer [1]. Silver's dual demand from industrial applications (AI/data center buildout, solar energy) and monetary demand provides structural price support.</w:t>
      </w:r>
    </w:p>
    <w:p>
      <w:pPr>
        <w:spacing w:after="120"/>
      </w:pPr>
      <w:r>
        <w:rPr>
          <w:rFonts w:ascii="Calibri" w:hAnsi="Calibri"/>
          <w:b w:val="0"/>
          <w:color w:val="3A4A28"/>
          <w:sz w:val="20"/>
        </w:rPr>
        <w:t>The bear case centers on Avino's extreme leverage to silver prices — with 54-60% of revenue from silver, a sustained price correction from the current ~$70-86/oz range to the historical $20-25/oz average would collapse margins and revenue by 50%+ [1][2]. Q2 2026 revenue of $26.8M was already 32% below Q1's record $39.4M, reflecting silver price volatility and production sequencing [2]. The forward P/E of 25x prices in significant growth that is entirely commodity-dependent, and the company's small scale means execution risk remains elevated as it attempts to develop La Preciosa and scale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Silver price supercycle driven by AI infrastructure buildout, solar energy expansion, and monetary demand could sustain prices above $60/oz through 2027, directly expanding ARCC's margins</w:t>
      </w:r>
    </w:p>
    <w:p>
      <w:pPr>
        <w:spacing w:before="40" w:after="40"/>
        <w:ind w:left="283"/>
      </w:pPr>
      <w:r>
        <w:rPr>
          <w:rFonts w:ascii="Calibri" w:hAnsi="Calibri"/>
          <w:b/>
          <w:color w:val="4A6B25"/>
          <w:sz w:val="20"/>
        </w:rPr>
        <w:t xml:space="preserve">2. </w:t>
      </w:r>
      <w:r>
        <w:rPr>
          <w:rFonts w:ascii="Calibri" w:hAnsi="Calibri"/>
          <w:b w:val="0"/>
          <w:color w:val="3A4A28"/>
          <w:sz w:val="20"/>
        </w:rPr>
        <w:t>Inaugural 127M silver equivalent ounce mineral reserve estimate positions Avino for potential index inclusion and institutional capital inflows as it reaches mid-tier producer status</w:t>
      </w:r>
    </w:p>
    <w:p>
      <w:pPr>
        <w:spacing w:before="40" w:after="40"/>
        <w:ind w:left="283"/>
      </w:pPr>
      <w:r>
        <w:rPr>
          <w:rFonts w:ascii="Calibri" w:hAnsi="Calibri"/>
          <w:b/>
          <w:color w:val="4A6B25"/>
          <w:sz w:val="20"/>
        </w:rPr>
        <w:t xml:space="preserve">3. </w:t>
      </w:r>
      <w:r>
        <w:rPr>
          <w:rFonts w:ascii="Calibri" w:hAnsi="Calibri"/>
          <w:b w:val="0"/>
          <w:color w:val="3A4A28"/>
          <w:sz w:val="20"/>
        </w:rPr>
        <w:t>La Preciosa project advancement could double production capacity within 3-5 years, transforming Avino from a single-mine operator to a diversified Mexico-focused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of 54-60% in silver makes Avino extremely sensitive to commodity price corrections — a 40% silver price decline would eliminate profitability at current cost structures</w:t>
      </w:r>
    </w:p>
    <w:p>
      <w:pPr>
        <w:spacing w:before="40" w:after="40"/>
        <w:ind w:left="283"/>
      </w:pPr>
      <w:r>
        <w:rPr>
          <w:rFonts w:ascii="Calibri" w:hAnsi="Calibri"/>
          <w:b/>
          <w:color w:val="4A6B25"/>
          <w:sz w:val="20"/>
        </w:rPr>
        <w:t xml:space="preserve">2. </w:t>
      </w:r>
      <w:r>
        <w:rPr>
          <w:rFonts w:ascii="Calibri" w:hAnsi="Calibri"/>
          <w:b w:val="0"/>
          <w:color w:val="3A4A28"/>
          <w:sz w:val="20"/>
        </w:rPr>
        <w:t>Single-country (Mexico) and single-mine operational concentration creates regulatory, political, and geological risk with no diversification buffer</w:t>
      </w:r>
    </w:p>
    <w:p>
      <w:pPr>
        <w:spacing w:before="40" w:after="40"/>
        <w:ind w:left="283"/>
      </w:pPr>
      <w:r>
        <w:rPr>
          <w:rFonts w:ascii="Calibri" w:hAnsi="Calibri"/>
          <w:b/>
          <w:color w:val="4A6B25"/>
          <w:sz w:val="20"/>
        </w:rPr>
        <w:t xml:space="preserve">3. </w:t>
      </w:r>
      <w:r>
        <w:rPr>
          <w:rFonts w:ascii="Calibri" w:hAnsi="Calibri"/>
          <w:b w:val="0"/>
          <w:color w:val="3A4A28"/>
          <w:sz w:val="20"/>
        </w:rPr>
        <w:t>Transition from junior to mid-tier producer requires significant capital deployment and execution on La Preciosa, with construction and permitting risk in Mexican regulatory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 and gold mining is a fundamentally physical-world operation — AI cannot extract precious metals from underground. Avino's business requires geological exploration, underground/open-pit mining, ore processing, and metallurgical recovery that are structurally immune to AI substitution [1]. Moreover, AI infrastructure expansion is increasing demand for silver (used in electronics, data center components, and solar panels that power AI facilities), making AI a potential tailwind for silver prices. AI Risk Protection scores 8/9 (IMMUNE). AI Opportunity scores 0/1 as Avino generates no AI-related revenue and has not deployed AI in its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Avino Silver &amp; Gold Mines Q1 FY2026 Earnings Release and Call, April 2026</w:t>
      </w:r>
    </w:p>
    <w:p>
      <w:pPr>
        <w:spacing w:before="20" w:after="20"/>
        <w:ind w:left="170"/>
      </w:pPr>
      <w:r>
        <w:rPr>
          <w:rFonts w:ascii="Calibri" w:hAnsi="Calibri"/>
          <w:b/>
          <w:color w:val="4A6B25"/>
          <w:sz w:val="15"/>
        </w:rPr>
        <w:t xml:space="preserve">2. </w:t>
      </w:r>
      <w:r>
        <w:rPr>
          <w:rFonts w:ascii="Calibri" w:hAnsi="Calibri"/>
          <w:b w:val="0"/>
          <w:color w:val="3A4A28"/>
          <w:sz w:val="17"/>
        </w:rPr>
        <w:t>Avino Silver &amp; Gold Mines Q2 FY2026 Financial Results,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ASM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ASM management team and leadership analysis,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GuruFocus — ASM PE ratio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Morningstar — ASM ESG and sustainability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ASM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