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BCML</w:t>
      </w:r>
      <w:r>
        <w:rPr>
          <w:rFonts w:ascii="Calibri" w:hAnsi="Calibri"/>
          <w:b/>
          <w:color w:val="1A2010"/>
          <w:sz w:val="40"/>
        </w:rPr>
        <w:t xml:space="preserve">  BayCom Corp</w:t>
      </w:r>
    </w:p>
    <w:p>
      <w:pPr>
        <w:spacing w:after="120"/>
      </w:pPr>
      <w:r>
        <w:rPr>
          <w:rFonts w:ascii="Calibri" w:hAnsi="Calibri"/>
          <w:b/>
          <w:color w:val="6E8450"/>
          <w:sz w:val="18"/>
        </w:rPr>
        <w:t>DIVIDEND SLEEVE · 2026-08-18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BayCom Corp is the bank holding company for United Business Bank, a community-focused commercial bank providing loans, deposits, and related financial services to small and mid-sized businesses, service professionals, and individuals. The bank operates through full-service branches across Northern and Southern California, Las Vegas, Denver, Seattle, and Central New Mexico, specializing in commercial real estate, C&amp;I lending, and SBA/USDA guaranteed loans. In April 2026, the board replaced the founding CEO and entire C-suite with former PacWest Bancorp executives.</w:t>
      </w:r>
    </w:p>
    <w:p>
      <w:r>
        <w:rPr>
          <w:rFonts w:ascii="Calibri" w:hAnsi="Calibri"/>
          <w:b/>
          <w:color w:val="6E8450"/>
          <w:sz w:val="18"/>
        </w:rPr>
        <w:t>327 Employees · https://www.unitedbusinessbank.com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BayCom has grown through disciplined acquisitions and geographic expansion across the Western U.S. since its 2004 founding and 2018 IPO, but no transformative product launches or business model pivots in the last five years — the company remains a traditional commercial community bank [1]. The April 2026 wholesale leadership transition to former PacWest executives signals a strategic inflection toward larger-scale dealmaking, but this is prospective rather than proven execution. AI Deployment (0/2): No evidence of AI-powered products or quantified AI-driven cost savings. United Business Bank offers standard digital banking services without AI differentiation [1]. Market Share (1/2): United Business Bank operates $2.6B in total assets with $2.0B in loans, serving small and mid-sized businesses across five states [1]. The bank is a meaningful regional player but not a category leader or fastest share gainer in any identifiable segment. Pipeline (0/2): New CEO Christopher Baron articulates a 'targeted growth model' and 'transformational combinations' strategy to build out the Western Region footprint, but no specific acquisitions, product launches, or timelines have been disclosed [2]. R&amp;D Intensity (1/1): Technology infrastructure investment is at or near peer levels for a community bank of BayCom's asset size, with standard digital banking capabilities maintained.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United Business Bank positions itself as a community-focused commercial bank serving small and mid-sized businesses, emphasizing relationship-based banking and local market expertise across its five-state footprint [3]. This identifies purpose and stakeholders but is interchangeable with any community bank — the mission does not articulate a deeper purpose beyond serving business customers. Community Impact (1/2): As a community bank, United Business Bank provides SBA, CalCAP, FSA, and USDA guaranteed loans that support small business access to capital and community development in Western U.S. markets [3]. The bank has DEI commitments and ESG practices, but no specific charitable foundation, community investment programs, or dollar amounts are prominently cited. Employee Retention (0/2): The April 2026 leadership transition — simultaneously terminating founding CEO George Guarini, COO Janet King, and CFO Keary Colwell — represents a major organizational disruption that likely affected employee morale and trust across the 327-person organization [2]. No employee satisfaction, tenure, or retention data is publicly available to assess the cultural aftermath. Insider Buying (1/2): Recent insider purchases at $30-31 per share indicate some insider conviction at current price levels near book value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26,604 shares x stock price of $31.07 = $826,758 daily dollar volume, which is below the $1,000,000 minimum threshold. Infrastructure score is mechanically set to 0 regardless of other metrics [4]. The volume decline from approximately 55,000 shares in early 2026 to 26,604 likely reflects reduced trading interest following the Q2 2026 net loss of $7.0M from executive transition costs and the wholesale leadership upheaval [1][2]. Underlying metrics (before liquidity floor override): D/E of 2.6% reflects extremely conservative leverage with $305.9M cash against $20.4M debt. ROE of 3.93% TTM is suppressed by Q2 loss. Forward P/E of 13.36x is attractive. Profit margin of 13.67% TTM reflects Q2 transition costs. Dividend yield of 3.86% with $0.30/quarter ($1.20 annual) and payment history dating to 1970 (56 years). However, no metric calculation overrides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BayCom shows deeply mixed infinite game characteristics. The bank's 56-year dividend payment history (since 1970) and the board's courage to overhaul leadership for long-term growth signal some infinite thinking. However, the simultaneous termination of the founding CEO, COO, and CFO in April 2026 — and the resulting Q2 2026 net loss of $7.0M from transition costs — contradicts Sinek's principles of trusting teams and leadership continuity. The new team's language ('high-performance culture,' 'relentless execution,' 'transformational transactions') is finite game vocabulary focused on dealmaking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BayCom's purpose — providing banking services to small and mid-sized businesses across the Western U.S. — is genuine but shallow [3]. Community banking serves a real societal need (small business access to capital), but BayCom's articulation is interchangeable with any community bank. The April 2026 leadership transition announcement emphasized 'building a balance sheet, navigating capital markets, and executing larger transactions' rather than advancing a cause [2]. The new team's language — 'high-performance culture' and 'relentless execution' — is transactional rather than purposeful.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April 2026 leadership transition is a significant trust deficit. The board terminated founding CEO George Guarini, COO Janet King, and CFO Keary Colwell simultaneously 'without cause,' replacing all three with former PacWest Bancorp executives [2]. Q2 2026 results showed a $7.0M net loss ($(0.64) EPS) driven by executive transition costs, quantifying the organizational disruption's financial impact [1]. Employees who joined under the founding team's culture now face an entirely new leadership structure focused on a different strategic direction.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BayCom's board implicitly acknowledges competitive dynamics by hiring former PacWest executives — recognizing that larger banks' capabilities in capital markets, balance sheet management, and deal execution represent strengths that BayCom needs to develop [2]. The strategic shift toward 'targeted growth' and 'transformational combinations' reflects learning from competitors' strengths rather than attempting to destroy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BayCom has demonstrated incremental strategic evolution — growing from a single-market community bank to a five-state platform through acquisitions, completing its 2018 IPO, and now pivoting toward larger-scale M&amp;A under new leadership [2]. The wholesale leadership overhaul represents the most dramatic strategic shift in the company's history, signaling willingness to transform the organizational model. However, the core business (commercial banking)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board's April 2026 decision to replace the entire founding leadership team was undeniably bold — simultaneously firing the CEO, COO, and CFO who built the bank from its 2004 founding requires conviction that a fundamentally different approach is needed [2]. The board concluded the 'next phase of growth requires proven experience building a balance sheet, navigating capital markets, and executing larger, more transformational transactions.' However, this decision was driven by financial ambition (growth and dealmaking) rather than principled adherence to a Just Cause, and the resulting $7.0M Q2 loss demonstrates the near-term cost of this disruption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BayCom Corp offers a community bank value story at 1.0x book value with a 3.86% dividend yield and 56-year dividend payment history, combined with a bold leadership transition that could unlock transformational growth [2][4]. Q1 2026 EPS of $0.75 (+43.5% YoY) demonstrated strong earnings momentum before the transition disruption [1]. The new PacWest leadership team (CEO Baron, EVP Black, CFO Thompson) brings proven experience in capital markets and M&amp;A execution that could transform United Business Bank from a $2.6B community bank into a regional growth platform across Western U.S. markets [2]. The Inspire Impact Score of 34 (ALIGNED) with positive attributions for Ethical Labor Practices, Hiring Ethics, and Product Access and Affordability reflects the community banking mission of serving small business lending needs. The ultra-conservative balance sheet — D/E of 2.6% with $305.9M cash against $20.4M debt — provides ample capacity for acquisitive growth.</w:t>
      </w:r>
    </w:p>
    <w:p>
      <w:pPr>
        <w:spacing w:after="120"/>
      </w:pPr>
      <w:r>
        <w:rPr>
          <w:rFonts w:ascii="Calibri" w:hAnsi="Calibri"/>
          <w:b w:val="0"/>
          <w:color w:val="3A4A28"/>
          <w:sz w:val="20"/>
        </w:rPr>
        <w:t>The bear case is dominated by the liquidity floor breach and leadership disruption. Average daily dollar volume of $827K falls below the $1M IOWN liquidity floor, mechanically zeroing the infrastructure score and rendering the stock effectively untradeable for any meaningful position size [4]. The wholesale leadership transition produced a $7.0M Q2 2026 net loss from executive transition costs, with TTM EPS growth turning sharply negative (-47%) and ROE compressed to 3.93% [1]. New CEO Baron and his PacWest team are inheriting a 327-employee bank and must rebuild management culture, customer relationships, and strategic direction from scratch in a challenging environment. Revenue growth has been essentially flat (0.23% YoY, 2.0% 5-year CAGR), and the bank has no competitive technology moat against fintech competitors or larger banks [1]. Commercial real estate concentration risk is elevated in California, Nevada, and Colorado markets facing potential valuation pressure. The stock's deteriorating trading volume — falling from ~55K shares/day in early 2026 to ~27K — reflects investor disengagement during the transition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PacWest leadership team (CEO Baron, EVP Black, CFO Thompson) brings proven M&amp;A experience that could catalyze transformational acquisitions, expanding the $2.6B asset base into a larger regional platform across Western U.S. markets [2]</w:t>
      </w:r>
    </w:p>
    <w:p>
      <w:pPr>
        <w:spacing w:before="40" w:after="40"/>
        <w:ind w:left="283"/>
      </w:pPr>
      <w:r>
        <w:rPr>
          <w:rFonts w:ascii="Calibri" w:hAnsi="Calibri"/>
          <w:b/>
          <w:color w:val="4A6B25"/>
          <w:sz w:val="20"/>
        </w:rPr>
        <w:t xml:space="preserve">2. </w:t>
      </w:r>
      <w:r>
        <w:rPr>
          <w:rFonts w:ascii="Calibri" w:hAnsi="Calibri"/>
          <w:b w:val="0"/>
          <w:color w:val="3A4A28"/>
          <w:sz w:val="20"/>
        </w:rPr>
        <w:t>Trading at approximately 1.0x book value with 3.86% dividend yield and D/E of 2.6% provides deep value with downside protection from the ultra-conservative balance sheet ($305.9M cash, $20.4M debt) [4]</w:t>
      </w:r>
    </w:p>
    <w:p>
      <w:pPr>
        <w:spacing w:before="40" w:after="40"/>
        <w:ind w:left="283"/>
      </w:pPr>
      <w:r>
        <w:rPr>
          <w:rFonts w:ascii="Calibri" w:hAnsi="Calibri"/>
          <w:b/>
          <w:color w:val="4A6B25"/>
          <w:sz w:val="20"/>
        </w:rPr>
        <w:t xml:space="preserve">3. </w:t>
      </w:r>
      <w:r>
        <w:rPr>
          <w:rFonts w:ascii="Calibri" w:hAnsi="Calibri"/>
          <w:b w:val="0"/>
          <w:color w:val="3A4A28"/>
          <w:sz w:val="20"/>
        </w:rPr>
        <w:t>Recovery from Q2 2026 transition costs — Q1 2026 demonstrated underlying earnings power at $0.75 EPS (+43.5% YoY), and normalization of executive transition expenses should restore profitability in H2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BREACHED — daily dollar volume of $827K ($31.07 x 26,604 avg volume) falls below $1M minimum, rendering the stock effectively untradeable for institutional investors and triggering infrastructure score of 0 [4]</w:t>
      </w:r>
    </w:p>
    <w:p>
      <w:pPr>
        <w:spacing w:before="40" w:after="40"/>
        <w:ind w:left="283"/>
      </w:pPr>
      <w:r>
        <w:rPr>
          <w:rFonts w:ascii="Calibri" w:hAnsi="Calibri"/>
          <w:b/>
          <w:color w:val="4A6B25"/>
          <w:sz w:val="20"/>
        </w:rPr>
        <w:t xml:space="preserve">2. </w:t>
      </w:r>
      <w:r>
        <w:rPr>
          <w:rFonts w:ascii="Calibri" w:hAnsi="Calibri"/>
          <w:b w:val="0"/>
          <w:color w:val="3A4A28"/>
          <w:sz w:val="20"/>
        </w:rPr>
        <w:t>Wholesale leadership transition in April 2026 produced a $7.0M Q2 net loss from transition costs and creates execution risk as new PacWest team rebuilds strategy, culture, and customer relationships across five states [1][2]</w:t>
      </w:r>
    </w:p>
    <w:p>
      <w:pPr>
        <w:spacing w:before="40" w:after="40"/>
        <w:ind w:left="283"/>
      </w:pPr>
      <w:r>
        <w:rPr>
          <w:rFonts w:ascii="Calibri" w:hAnsi="Calibri"/>
          <w:b/>
          <w:color w:val="4A6B25"/>
          <w:sz w:val="20"/>
        </w:rPr>
        <w:t xml:space="preserve">3. </w:t>
      </w:r>
      <w:r>
        <w:rPr>
          <w:rFonts w:ascii="Calibri" w:hAnsi="Calibri"/>
          <w:b w:val="0"/>
          <w:color w:val="3A4A28"/>
          <w:sz w:val="20"/>
        </w:rPr>
        <w:t>Revenue growth has been essentially flat (0.23% YoY, 2.0% 5-year CAGR) with commercial real estate concentration risk in California, Nevada, and Colorado markets facing potential valuation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Community banking is partially protected from AI disruption — relationship-based lending to small and mid-sized businesses relies on local market knowledge, face-to-face relationships, and complex commercial credit underwriting that AI cannot fully replicate [1]. SBA/USDA guaranteed loans, commercial real estate lending, and C&amp;I credit decisions require human judgment on borrower quality, local market conditions, and deal structuring. However, AI poses meaningful efficiency pressure: fintech competitors and larger banks are automating loan origination, credit decisioning, and customer service at scale, potentially compressing margins in standardized lending products. BayCom's smaller scale (327 employees, $2.6B assets) makes it more vulnerable to technology-driven cost competition than larger banks with bigger IT budgets. AI Opportunity (1/1): While BayCom does not generate direct AI product revenue, the bank deploys modern digital banking infrastructure including online/mobile banking, ACH origination, and remote deposit capture that leverages technology to serve business customers efficiently across five states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BayCom Corp Q1 2026 and Q2 2026 Earnings Releases — Q1 EPS $0.75 (+43.5% YoY), Q2 net loss $7.0M ($(0.64) EPS) from executive transition costs, revenue $33.7M, total assets $2.6B, SEC filings January-August 2026</w:t>
      </w:r>
    </w:p>
    <w:p>
      <w:pPr>
        <w:spacing w:before="20" w:after="20"/>
        <w:ind w:left="170"/>
      </w:pPr>
      <w:r>
        <w:rPr>
          <w:rFonts w:ascii="Calibri" w:hAnsi="Calibri"/>
          <w:b/>
          <w:color w:val="4A6B25"/>
          <w:sz w:val="15"/>
        </w:rPr>
        <w:t xml:space="preserve">2. </w:t>
      </w:r>
      <w:r>
        <w:rPr>
          <w:rFonts w:ascii="Calibri" w:hAnsi="Calibri"/>
          <w:b w:val="0"/>
          <w:color w:val="3A4A28"/>
          <w:sz w:val="17"/>
        </w:rPr>
        <w:t>BayCom Corp Leadership Transition Announcement — Board terminated CEO Guarini, COO King, CFO Colwell 'without cause'; appointed CEO Christopher Baron, EVP William Black, CFO Kevin Thompson (all former PacWest); 'high-performance culture' and 'transformational transactions' strategy, April 2026</w:t>
      </w:r>
    </w:p>
    <w:p>
      <w:pPr>
        <w:spacing w:before="20" w:after="20"/>
        <w:ind w:left="170"/>
      </w:pPr>
      <w:r>
        <w:rPr>
          <w:rFonts w:ascii="Calibri" w:hAnsi="Calibri"/>
          <w:b/>
          <w:color w:val="4A6B25"/>
          <w:sz w:val="15"/>
        </w:rPr>
        <w:t xml:space="preserve">3. </w:t>
      </w:r>
      <w:r>
        <w:rPr>
          <w:rFonts w:ascii="Calibri" w:hAnsi="Calibri"/>
          <w:b w:val="0"/>
          <w:color w:val="3A4A28"/>
          <w:sz w:val="17"/>
        </w:rPr>
        <w:t>United Business Bank Website, CRA/Community Banking Profile, ESG/DEI Commitments — Relationship banking, SBA/USDA/CalCAP loans, five-state footprint,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Insider Transaction Data — stock price $31.07, PE 12.97, Forward PE 13.36, D/E 2.6%, ROE 3.93%, dividend $1.20/year (3.86% yield), avg volume 26,604, dividend paid since 1970,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