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BLSM</w:t>
      </w:r>
      <w:r>
        <w:rPr>
          <w:rFonts w:ascii="Calibri" w:hAnsi="Calibri"/>
          <w:b/>
          <w:color w:val="1A2010"/>
          <w:sz w:val="40"/>
        </w:rPr>
        <w:t xml:space="preserve">  BlossomHill Therapeutics, Inc.</w:t>
      </w:r>
    </w:p>
    <w:p>
      <w:pPr>
        <w:spacing w:after="120"/>
      </w:pPr>
      <w:r>
        <w:rPr>
          <w:rFonts w:ascii="Calibri" w:hAnsi="Calibri"/>
          <w:b/>
          <w:color w:val="6E8450"/>
          <w:sz w:val="18"/>
        </w:rPr>
        <w:t>GROWTH SLEEVE · 2026-08-14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BlossomHill Therapeutics is a clinical-stage biopharmaceutical company developing novel small molecule medicines for cancer treatment through intentional, chemistry-based drug design. Founded in 2020 by J. Jean Cui, Ph.D. — the lead inventor of three FDA-approved cancer therapies (crizotinib/Xalkori, lorlatinib/Lorbrena, repotrectinib/Augtyro) and scientific founder of Turning Point Therapeutics (acquired by BMS for $4.1B in 2022). The pipeline includes BH-30643 (Phase 1/2 EGFR NSCLC inhibitor), BH-30236 (Phase 1 CLK inhibitor for AML/MDS), and BH-501284 (preclinical pan-KRAS inhibitor). IPO completed August 7, 2026, raising $150M at $16/share. Headquartered in San Diego, California.</w:t>
      </w:r>
    </w:p>
    <w:p>
      <w:r>
        <w:rPr>
          <w:rFonts w:ascii="Calibri" w:hAnsi="Calibri"/>
          <w:b/>
          <w:color w:val="6E8450"/>
          <w:sz w:val="18"/>
        </w:rPr>
        <w:t>https://bhtherapeutics.com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BlossomHill itself has no commercial products or revenue after six years of operation. However, scientific founder J. Jean Cui is the lead inventor of three FDA-approved cancer drugs — crizotinib, lorlatinib, and repotrectinib — and previously founded Turning Point Therapeutics, which was acquired by Bristol-Myers Squibb for $4.1B in 2022 [1]. This prior track record of translating chemistry into approved medicines is the strongest validation of the platform, though it belongs to the founder's career rather than this company's history. AI Deployment (0/2): No AI deployment. BlossomHill explicitly uses a chemistry-based approach to drug design emphasizing 'artistic' molecular craftsmanship rather than AI-driven discovery [2]. Market Share (0/2): Pre-revenue clinical-stage company with no commercial products and no market share in any therapeutic category [1]. Pipeline (2/2): Three specific drug candidates with clear development timelines and differentiated mechanisms: BH-30643 (Phase 1/2 OMNI-EGFR inhibitor for NSCLC including C797S-resistant tumors), BH-30236 (Phase 1 CLK inhibitor for AML/MDS with venetoclax combination), and BH-501284 (preclinical Switch-II pocket pan-KRAS inhibitor) [1]. IPO proceeds of $150M fund Phase 2 initiation for the lead program and Phase 1 continuation for BH-30236. R&amp;D Intensity (1/1): The company is 100% R&amp;D — all spending goes to drug development with zero commercial infrastructure costs. R&amp;D intensity is at the maximum possible level for any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BlossomHill's mission is 'to exponentially improve the number of quality years for patients' through creating 'medical masterpieces to treat disease' [2]. This is specific and thoughtfully articulated — it goes beyond generic pharma language by emphasizing artistic intentionality in drug design. The company name derives from an ancient Chinese poem depicting perseverance through adversity leading to unexpected opportunity, symbolizing the patient journey through cancer treatment. CEO Cui's personal connection to the mission — having already invented three approved cancer drugs — gives the purpose genuine credibility [2]. However, the mission is only six years old and unvalidated by commercial execution or crisis navigation. Community Impact (0/2): No evidence of charitable programs or community investment. Pre-revenue startup with limited resources for philanthropy [3]. Employee Retention (0/2): The company has approximately 11 senior leaders and an undisclosed total headcount. Too young and too small to assess retention patterns meaningfully [2]. Insider Buying (0/2): No evidence of open-market insider purchases was identified. As a newly public company, insiders hold significant pre-IPO equity but no discretionary buying was documented.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limited metrics available for a pre-revenue clinical-stage biotech. BlossomHill has no revenue, no earnings, and no commercial operations — standard financial metrics are largely undefined [1]. The company likely has minimal or no debt following the $150M IPO, which would score well on D/E (estimated 1.0). However, ROE is deeply negative with a -$71M net loss against post-IPO equity, scoring 0 [1]. Revenue growth, profit margin, forward P/E, and PEG ratio are all undefined for a pre-revenue entity and excluded from the calculation. The mechanical score is based solely on D/E (favorable, no debt) and ROE (unfavorable, net loss) — giving a score of 3. The $150M IPO proceeds provide approximately 2 years of cash runway at current burn rates, but the scoring model cannot capture optionality value in clinical-stage assets [1]. Liquidity check passes: 426K avg daily volume x $16.35 = $6.96M &gt;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BlossomHill Therapeutics is a six-year-old company with a deeply personal founding story and a genuine mission to improve cancer treatment outcomes. CEO J. Jean Cui's decision to start over after her $4.1B exit at Turning Point suggests purpose-driven motivation. However, the company is too young, too small, and too early-stage to demonstrate infinite game characteristics through the kind of sustained execution, organizational trust, and strategic adaptation that Sinek requires. Clinical-stage biotechs are inherently finite-game entities — they succeed or fail based on binary clinical trial outcomes within defined timeframes.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BlossomHill's cause — to 'exponentially improve the number of quality years for patients' through 'medical masterpieces' — is genuine, specific, and personally validated by CEO Cui's career of inventing three FDA-approved cancer drugs [2]. The company name's connection to a Chinese poem about perseverance through adversity reflects authentic intentionality. Cui's decision to leave the financial security of her $4.1B Turning Point exit to start again from scratch suggests the cause is the primary driver, not financial return. However, the cause has not been tested through market cycles, leadership transitions, or organizational crises — six years is insufficient to validate endurance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BlossomHill has approximately 11 senior leaders and an undisclosed number of total employees — the organization is too small and too young to assess trust dynamics meaningfully [2]. The company recently expanded its board with experienced directors (Sheila Gujrathi, M.D., former CEO of Gossamer Bio, and John Schmid), which signals intentional governance building. However, no employee satisfaction data, retention metrics, or cultural evidence was identified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BlossomHill operates in the highly competitive EGFR and KRAS inhibitor space alongside major pharmaceutical companies (AstraZeneca, Mirati/BMS, Revolution Medicines) but public communications focus on the company's own pipeline differentiation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BlossomHill is six years old and has not yet commercialized any product — the company has never faced the test of abandoning a successful business in service of a larger cause [1]. The company's current strategy is straightforward linear drug development: advance three candidates through clinical trials toward approval. While the scientific platform is flexible enough to address multiple oncology targets, the company has not demonstrated the kind of transformative strategic pivot Sinek envisions.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 Jean Cui's decision to leave her successful career trajectory — having founded Turning Point Therapeutics, seen it acquired by BMS for $4.1B, and with three FDA-approved drugs to her name — to start over with BlossomHill demonstrates genuine personal courage and conviction [2]. Walking away from financial security and proven success to build a new company pursuing a harder scientific challenge (macrocyclic EGFR inhibitors, pan-KRAS) reflects choosing long-term scientific impact over short-term career optimization. However, the company has not yet faced the organizational test of investing through adversity or making costly strategic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BlossomHill Therapeutics offers a high-risk, high-reward bet on the drug development expertise of J. Jean Cui, who has the rare distinction of inventing three FDA-approved cancer therapies and founding a company acquired for $4.1B [1]. The lead candidate BH-30643, an OMNI-EGFR inhibitor targeting the common C797S resistance mutation in NSCLC, addresses a $5B+ market where current therapies fail due to acquired resistance — if Phase 1/2 data demonstrates durable responses, the company could command a significant premium [1]. The pipeline's second program (BH-30236, CLK inhibitor for AML/MDS) and preclinical pan-KRAS inhibitor provide additional optionality. With $150M in IPO proceeds, the company is funded through Phase 2 initiation for the lead program and Phase 1 completion for BH-30236, providing approximately two years of runway without dilution [1]. At a $501M market cap, investors are paying roughly $170M per clinical program — reasonable for assets from a proven inventor in validated oncology targets.</w:t>
      </w:r>
    </w:p>
    <w:p>
      <w:pPr>
        <w:spacing w:after="120"/>
      </w:pPr>
      <w:r>
        <w:rPr>
          <w:rFonts w:ascii="Calibri" w:hAnsi="Calibri"/>
          <w:b w:val="0"/>
          <w:color w:val="3A4A28"/>
          <w:sz w:val="20"/>
        </w:rPr>
        <w:t>The bear case reflects the fundamental reality of clinical-stage biotech investing: BlossomHill has zero revenue, -$71M in annual cash burn, and binary clinical trial risk across all three programs [1]. The EGFR inhibitor space is intensely competitive, with AstraZeneca (Tagrisso), Johnson &amp; Johnson (Rybrevant), and multiple other companies advancing next-generation agents — BlossomHill's macrocyclic approach must demonstrate clear superiority in both efficacy and tolerability to gain traction in a crowded field [3]. Phase 1 data can be misleading in small patient cohorts, and the history of oncology drug development is littered with promising Phase 1 programs that failed in larger trials. The company has no commercial infrastructure, no revenue trajectory, and no reimbursement strategy — success requires either a partnership or building an entire commercial organization from scratch. The stock's $16.35 price (near IPO of $16.00) reflects that the market has not yet repriced the shares for any clinical data readout. CEO concentration risk is extreme — Dr. Cui's scientific vision is the company's primary asset, and any departure would be existentially threatening.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1/2 clinical data readout for BH-30643 in EGFR-mutant NSCLC (including C797S-resistant patients) could dramatically revalue the company if response rates and durability exceed current third-generation EGFR inhibitors</w:t>
      </w:r>
    </w:p>
    <w:p>
      <w:pPr>
        <w:spacing w:before="40" w:after="40"/>
        <w:ind w:left="283"/>
      </w:pPr>
      <w:r>
        <w:rPr>
          <w:rFonts w:ascii="Calibri" w:hAnsi="Calibri"/>
          <w:b/>
          <w:color w:val="4A6B25"/>
          <w:sz w:val="20"/>
        </w:rPr>
        <w:t xml:space="preserve">2. </w:t>
      </w:r>
      <w:r>
        <w:rPr>
          <w:rFonts w:ascii="Calibri" w:hAnsi="Calibri"/>
          <w:b w:val="0"/>
          <w:color w:val="3A4A28"/>
          <w:sz w:val="20"/>
        </w:rPr>
        <w:t>Phase 1 dose-escalation data for BH-30236 in AML/MDS, particularly the venetoclax combination arm, could validate the CLK inhibitor mechanism and expand the pipeline's total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Potential partnership or licensing deal with a large pharmaceutical company for commercialization rights to BH-30643, which would de-risk the balance sheet and validate the platform's commercial potential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across all three programs — any Phase 1/2 failure for BH-30643 would destroy the majority of the company's market value, as the lead program represents the primary valuation driver</w:t>
      </w:r>
    </w:p>
    <w:p>
      <w:pPr>
        <w:spacing w:before="40" w:after="40"/>
        <w:ind w:left="283"/>
      </w:pPr>
      <w:r>
        <w:rPr>
          <w:rFonts w:ascii="Calibri" w:hAnsi="Calibri"/>
          <w:b/>
          <w:color w:val="4A6B25"/>
          <w:sz w:val="20"/>
        </w:rPr>
        <w:t xml:space="preserve">2. </w:t>
      </w:r>
      <w:r>
        <w:rPr>
          <w:rFonts w:ascii="Calibri" w:hAnsi="Calibri"/>
          <w:b w:val="0"/>
          <w:color w:val="3A4A28"/>
          <w:sz w:val="20"/>
        </w:rPr>
        <w:t>Intense competition in the EGFR inhibitor space from AstraZeneca (Tagrisso), Johnson &amp; Johnson (Rybrevant), and multiple late-stage programs from other biotechs targeting the same resistance mechanisms BlossomHill addresses</w:t>
      </w:r>
    </w:p>
    <w:p>
      <w:pPr>
        <w:spacing w:before="40" w:after="40"/>
        <w:ind w:left="283"/>
      </w:pPr>
      <w:r>
        <w:rPr>
          <w:rFonts w:ascii="Calibri" w:hAnsi="Calibri"/>
          <w:b/>
          <w:color w:val="4A6B25"/>
          <w:sz w:val="20"/>
        </w:rPr>
        <w:t xml:space="preserve">3. </w:t>
      </w:r>
      <w:r>
        <w:rPr>
          <w:rFonts w:ascii="Calibri" w:hAnsi="Calibri"/>
          <w:b w:val="0"/>
          <w:color w:val="3A4A28"/>
          <w:sz w:val="20"/>
        </w:rPr>
        <w:t>Pre-revenue cash burn of approximately $71M annually provides only ~2 years of runway from IPO proceeds, creating near-certain need for dilutive financing if clinical timelines extend or additional trials are required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and pharmaceutical commercialization are protected by extensive FDA regulatory requirements, multi-year clinical trial mandates, and the physical nature of small molecule manufacturing that AI cannot bypass [1]. BlossomHill's drugs, if approved, would be physical molecules requiring chemical synthesis, sterile manufacturing, and distribution through regulated pharmaceutical channels — all processes AI cannot substitute. The company's macrocyclic drug design expertise represents deep chemistry knowledge that current AI drug discovery tools complement but cannot replace. However, AI-driven drug discovery platforms (e.g., Recursion, Insilico Medicine) are accelerating competitors' ability to identify drug candidates and optimize molecules, which could compress BlossomHill's first-mover advantage in EGFR and KRAS inhibition [3]. AI Opportunity (0/1): No AI-generated revenue. BlossomHill explicitly uses a chemistry-based rather than AI-driven approach to drug design, emphasizing human expertise and 'artistic' molecular craftsmanship over computational methods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BlossomHill Therapeutics IPO Details, Pipeline, and Financial Data — Axios, FierceBiotech, Seeking Alpha, StockAnalysis.com, August 2026</w:t>
      </w:r>
    </w:p>
    <w:p>
      <w:pPr>
        <w:spacing w:before="20" w:after="20"/>
        <w:ind w:left="170"/>
      </w:pPr>
      <w:r>
        <w:rPr>
          <w:rFonts w:ascii="Calibri" w:hAnsi="Calibri"/>
          <w:b/>
          <w:color w:val="4A6B25"/>
          <w:sz w:val="15"/>
        </w:rPr>
        <w:t xml:space="preserve">2. </w:t>
      </w:r>
      <w:r>
        <w:rPr>
          <w:rFonts w:ascii="Calibri" w:hAnsi="Calibri"/>
          <w:b w:val="0"/>
          <w:color w:val="3A4A28"/>
          <w:sz w:val="17"/>
        </w:rPr>
        <w:t>BlossomHill Therapeutics About Us, Leadership, Mission, and Drug Design Approach — bhtherapeutics.com,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BlossomHill Therapeutics Competitive Landscape, Board Expansion, and Industry Context — BioSpace, GlobeNewsWire, Bloomberg,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