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BNS</w:t>
      </w:r>
      <w:r>
        <w:rPr>
          <w:rFonts w:ascii="Calibri" w:hAnsi="Calibri"/>
          <w:b/>
          <w:color w:val="1A2010"/>
          <w:sz w:val="40"/>
        </w:rPr>
        <w:t xml:space="preserve">  Bank of Nova Scotia</w:t>
      </w:r>
    </w:p>
    <w:p>
      <w:pPr>
        <w:spacing w:after="120"/>
      </w:pPr>
      <w:r>
        <w:rPr>
          <w:rFonts w:ascii="Calibri" w:hAnsi="Calibri"/>
          <w:b/>
          <w:color w:val="6E8450"/>
          <w:sz w:val="18"/>
        </w:rPr>
        <w:t>DIVIDEND SLEEVE · 2026-09-12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Bank of Nova Scotia (Scotiabank) is one of Canada's Big Five banks and the third-largest by assets, founded in 1832 in Halifax, Nova Scotia and now headquartered in Toronto. It serves over 25 million customers globally through Canadian Banking, International Banking, Global Wealth Management, and Global Banking and Markets segments, with approximately $1.5 trillion in assets. Under CEO Scott Thomson, the bank has refocused from its broad Latin American footprint toward a North American growth strategy. Q3 2026 delivered record quarterly earnings with EPS of $2.28 (+21% YoY), ROE of 14.2%, and revenue of $10,535M (+16% YoY).</w:t>
      </w:r>
    </w:p>
    <w:p>
      <w:r>
        <w:rPr>
          <w:rFonts w:ascii="Calibri" w:hAnsi="Calibri"/>
          <w:b/>
          <w:color w:val="6E8450"/>
          <w:sz w:val="18"/>
        </w:rPr>
        <w:t>90,000 Employees · https://www.scotiabank.com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Scott Thomson, Scotiabank has executed a significant strategic pivot away from its decades-long identity as 'Canada's most international bank,' divesting Colombia, Costa Rica, and Panama operations to Davivienda in 2024 to refocus capital on the North American corridor — a genuine reinvention of the bank's strategic identity [1]. AI Deployment (1/2): Scotia Intelligence provides front-line staff and technical teams shared access to AI tools, with a formal AI risk management policy and data ethics team, and an internal AI-kathon brought together 300+ employees to tackle fraud detection [2]. However, no customer-facing AI product with quantified revenue or cost-savings impact was identified. Market Share (1/2): Scotiabank is the third-largest Canadian bank by assets and deposits, a stable but not gaining position relative to RBC and TD, with all business segments profitable in Q3 2026 [1]. Product Pipeline (0/2): No specific next-generation customer product was identified with a named launch date. R&amp;D Intensity (0/1): Banks typically do not report R&amp;D as a percentage of revenue; no comparable data versus Canadian bank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Scotiabank's purpose, 'for every future,' connects the bank's work to clients', families', and communities' long-term outcomes and is consistently referenced across investor and community materials, but it remains a standard large-bank purpose rather than a transformative cause validated by decades of strategic consistency [1]. Community Impact (2/2): ScotiaRISE is a quantified $500M+ commitment (through 2030) to advance economic resilience — funding high school and post-secondary participation, newcomer integration, and career-advancement programs for disadvantaged groups — a distinctive, specific community investment program that exceeds generic corporate philanthropy [1]. Employee Retention (0/2): No specific tenure or voluntary-turnover data was found to support an above-average retention claim for a ~90,000-employee organization. Insider Buying (0/2): CEO Scott Thomson's most recent disclosed purchase (6,900 shares, ~$499,905) was made in February 2025, more than 12 months before this screen date, so it falls outside the evaluation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with all 10 metric categories populated [1][3]. D/E of 54% scores a full 1.0 against the 70% target. ROE of 14.2% (Q3 2026 record, exceeding the bank's medium-term target) scores 0.95 against the 15% target — up significantly from 11.0% at the prior screen [1]. Revenue growth YoY of 16% (Q3 2026) scores a full 1.0, reflecting the strongest quarterly growth in years with all four segments contributing [1]. Estimated 5-year revenue CAGR of ~5% scores 0.67. Forward P/E of 12.36x and profit margin of 28.43% both score a full 1.0, reflecting an attractively valued, highly profitable banking franchise. On dividend metrics: payout ratio of 60.4% scores 0.66; consecutive years paid (~193, unbroken since the first dividend declared July 1, 1833) scores a full 1.0 at 2x weight; consecutive years of dividend growth (~4, since OSFI lifted the pandemic-era freeze) scores 0.40; and 5-year dividend growth CAGR of 4.84% scores 0.81 at 2x weight [3]. Liquidity is far above the floor: $80.00 x 2.0M avg daily volume = ~$160M.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Scotiabank's 193-year unbroken dividend record and CEO Thomson's 2024 decision to walk away from profitable Latin American operations in favor of a North American strategic focus show real infinite-game discipline — willingness to sacrifice near-term diversification and revenue for long-term strategic coherence. Q3 2026 record results (ROE 14.2%, EPS +21%) suggest the strategic pivot is validating the cause. The gap to INFINITE is organizational: no evidence of exceptional trust or a distinctively lived Just Cause beyond a standard, well-funded purpose statement, and a prior governance failure involving compliance staff terminations undermines the trust dimension.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 every future,' backed by the $500M+ ScotiaRISE community investment commitment, is a genuine cause connecting the bank's work to client and community outcomes [1]. The bank's 193-year operating history demonstrates institutional endurance. However, the recent pivot away from decades of Latin American/Caribbean expansion suggests the cause bends to leadership strategy rather than anchoring it with Sinek-level consistency — a bank whose purpose has changed with each CEO transition is partially, not fully, living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Scotiabank's AI culture includes shared front-line access to AI tools and cross-functional AI-kathons with 300+ employees, signaling some empowerment [2]. However, a 2025 governance incident involving the termination of two stock analysts and three senior compliance employees for failing to escalate a personal-trading violation reveals pockets of compliance failure that cut against a fully high-trust environment. The large scale (~90,000 employees) makes trust assessment inherently partial.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Available research shows Scotiabank benchmarking itself against RBC, TD, and BMO primarily on ROE and earnings metrics — a largely finite 'catch up and win' framing rather than explicit acknowledgment of what rivals' strengths teach the bank about its own weaknesses.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Divesting the Colombia, Costa Rica, and Panama operations to Davivienda in 2024 and abandoning the 'most international bank' identity built over decades in favor of a North American (Canada-US-Mexico) strategy is a genuine, costly reinvention of what kind of bank Scotiabank is — not an incremental tweak [1]. The pivot involved giving up in-place revenue and international diversification, driven by strategic conviction about where capital would generate the best returns over the long term.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Scott Thomson's decision to exit profitable, decades-established Latin American and Caribbean franchises — giving up in-place revenue and the bank's distinctive international diversification advantage — to concentrate capital on the North American corridor is a pattern of costly, long-term-focused capital allocation [1]. Q3 2026 record results (ROE 14.2%, Canadian Banking earnings +12%, Global Banking &amp; Markets +37%) are early validation that the sacrifice is paying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Scotiabank delivered record Q3 2026 results with EPS of $2.28 (+21% YoY), ROE of 14.2% (exceeding the bank's medium-term target, with CEO Thomson stating '14% ROE is not a ceiling'), and revenue growth of 16% to $10,535M with all four business segments profitable — Canadian Banking earnings +12%, International Banking stable, Global Wealth Management +19%, and Global Banking &amp; Markets +37% [1]. At 12.36x forward earnings with a 3.56% dividend yield backed by an unbroken 193-year dividend record dating to 1833, BNS offers a durable, moated income profile [3]. Banking is a regulated, license-protected business that AI cannot easily disrupt, and Scotiabank has built explicit AI-governance discipline ahead of many peers [2]. The North American refocusing strategy under Thomson is generating the earnings acceleration the market was waiting for.</w:t>
      </w:r>
    </w:p>
    <w:p>
      <w:pPr>
        <w:spacing w:after="120"/>
      </w:pPr>
      <w:r>
        <w:rPr>
          <w:rFonts w:ascii="Calibri" w:hAnsi="Calibri"/>
          <w:b w:val="0"/>
          <w:color w:val="3A4A28"/>
          <w:sz w:val="20"/>
        </w:rPr>
        <w:t>The primary risks are concentration, governance history, and dividend growth recovery. The 2024 divestment of Colombia, Costa Rica, and Panama concentrates the bank's exposure in Canada, Mexico, and the US, reducing the geographic diversification that once distinguished BNS from domestic-only peers — any North American macro downturn would disproportionately affect earnings [1]. The 5-year dividend growth CAGR of 4.84% remains depressed by the multi-year OSFI-mandated pandemic dividend freeze, and the 60.4% payout ratio limits near-term dividend acceleration without further earnings growth [3]. A 2025 governance failure — analysts and compliance staff terminated for failing to escalate trading violations — plus a historical track record of AML and commodities-manipulation penalties create ongoing reputational overhang [2]. The Inspire Impact Score of -49 (MISALIGNED) due to LGBT Activism attribution limits allocation for faith-based investors despite strong ESG practices and the ESG-driven Elbit Systems divestment.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trajectory above 14% with CEO Thomson declaring 'not a ceiling,' supported by record Q3 earnings growth across all business segments and improving operational efficiency from the North American strategic refocus [1]</w:t>
      </w:r>
    </w:p>
    <w:p>
      <w:pPr>
        <w:spacing w:before="40" w:after="40"/>
        <w:ind w:left="283"/>
      </w:pPr>
      <w:r>
        <w:rPr>
          <w:rFonts w:ascii="Calibri" w:hAnsi="Calibri"/>
          <w:b/>
          <w:color w:val="4A6B25"/>
          <w:sz w:val="20"/>
        </w:rPr>
        <w:t xml:space="preserve">2. </w:t>
      </w:r>
      <w:r>
        <w:rPr>
          <w:rFonts w:ascii="Calibri" w:hAnsi="Calibri"/>
          <w:b w:val="0"/>
          <w:color w:val="3A4A28"/>
          <w:sz w:val="20"/>
        </w:rPr>
        <w:t>Continued North American strategic focus following the 2024 Latin American divestitures, simplifying the investment case and enabling capital redeployment toward higher-ROE Canadian and US opportunities [1]</w:t>
      </w:r>
    </w:p>
    <w:p>
      <w:pPr>
        <w:spacing w:before="40" w:after="40"/>
        <w:ind w:left="283"/>
      </w:pPr>
      <w:r>
        <w:rPr>
          <w:rFonts w:ascii="Calibri" w:hAnsi="Calibri"/>
          <w:b/>
          <w:color w:val="4A6B25"/>
          <w:sz w:val="20"/>
        </w:rPr>
        <w:t xml:space="preserve">3. </w:t>
      </w:r>
      <w:r>
        <w:rPr>
          <w:rFonts w:ascii="Calibri" w:hAnsi="Calibri"/>
          <w:b w:val="0"/>
          <w:color w:val="3A4A28"/>
          <w:sz w:val="20"/>
        </w:rPr>
        <w:t>193-year unbroken dividend record with resumed growth (4 consecutive years since the OSFI freeze ended) supporting the income thesis, with a potential for accelerated dividend increases as ROE sustainably exceeds 14%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Reduced geographic diversification following the exit from Colombia, Costa Rica, and Panama, concentrating exposure in Canada, Mexico, and the US where macro conditions are correlated — a North American recession would hit all segments simultaneously [1]</w:t>
      </w:r>
    </w:p>
    <w:p>
      <w:pPr>
        <w:spacing w:before="40" w:after="40"/>
        <w:ind w:left="283"/>
      </w:pPr>
      <w:r>
        <w:rPr>
          <w:rFonts w:ascii="Calibri" w:hAnsi="Calibri"/>
          <w:b/>
          <w:color w:val="4A6B25"/>
          <w:sz w:val="20"/>
        </w:rPr>
        <w:t xml:space="preserve">2. </w:t>
      </w:r>
      <w:r>
        <w:rPr>
          <w:rFonts w:ascii="Calibri" w:hAnsi="Calibri"/>
          <w:b w:val="0"/>
          <w:color w:val="3A4A28"/>
          <w:sz w:val="20"/>
        </w:rPr>
        <w:t>Governance and compliance history — the 2025 analyst/compliance-staff terminations, prior AML penalties, and commodities-manipulation settlement create ongoing reputational and regulatory risk that could result in fines or capital requirements [2]</w:t>
      </w:r>
    </w:p>
    <w:p>
      <w:pPr>
        <w:spacing w:before="40" w:after="40"/>
        <w:ind w:left="283"/>
      </w:pPr>
      <w:r>
        <w:rPr>
          <w:rFonts w:ascii="Calibri" w:hAnsi="Calibri"/>
          <w:b/>
          <w:color w:val="4A6B25"/>
          <w:sz w:val="20"/>
        </w:rPr>
        <w:t xml:space="preserve">3. </w:t>
      </w:r>
      <w:r>
        <w:rPr>
          <w:rFonts w:ascii="Calibri" w:hAnsi="Calibri"/>
          <w:b w:val="0"/>
          <w:color w:val="3A4A28"/>
          <w:sz w:val="20"/>
        </w:rPr>
        <w:t>Dividend growth still recovering from the multi-year pandemic-era freeze, with payout ratio of 60.4% and 5-year CAGR of 4.84% suggesting real income growth has been modest; acceleration requires sustained earnings growth above the current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 Scotiabank's core deposit-taking, lending, and wealth-management businesses require a banking license, deposit insurance backing, regulatory capital, and deep customer trust that AI cannot substitute [1]. The bank has built explicit ethical-AI governance — Scotia Intelligence provides shared AI access to front-line staff with a data ethics policy embedded in the code of conduct — reducing regulatory and reputational AI risk [2]. Retail lending and payments face incremental pressure from digital-first fintech and AI-powered underwriting, but this is modest erosion risk against an otherwise heavily moated, license-protected franchise with $1.5T in assets. AI Opportunity (0/1): AI tools are described as improving internal efficiency and decision-making, but no specific quantified AI-attributable revenue or cost-savings figure was disclosed,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of Nova Scotia Q3 FY2026 Earnings — Record EPS $2.28 (+21% YoY), ROE 14.2%, Revenue $10,535M (+16%), Net Income $2,953M, All Segments Profitable, Yahoo Finance and 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Scotiabank Leadership and AI Strategy — CEO Scott Thomson (North American Refocus), Scotia Intelligence AI Platform, AI-kathon (300+ employees), Data Ethics Policy, Elbit ESG Divestment, Compliance Staff Terminations, Globe and Mail,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Dividend.com — BNS Key Statistics: NYSE Price $80.00, Forward P/E 12.36x, D/E 54%, ROE 14.2%, Dividend Yield 3.56%, 193-Year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