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BRTX</w:t>
      </w:r>
      <w:r>
        <w:rPr>
          <w:rFonts w:ascii="Calibri" w:hAnsi="Calibri"/>
          <w:b/>
          <w:color w:val="1A2010"/>
          <w:sz w:val="40"/>
        </w:rPr>
        <w:t xml:space="preserve">  BioRestorative Therapies, Inc.</w:t>
      </w:r>
    </w:p>
    <w:p>
      <w:pPr>
        <w:spacing w:after="120"/>
      </w:pPr>
      <w:r>
        <w:rPr>
          <w:rFonts w:ascii="Calibri" w:hAnsi="Calibri"/>
          <w:b/>
          <w:color w:val="6E8450"/>
          <w:sz w:val="18"/>
        </w:rPr>
        <w:t>GROWTH SLEEVE · 2026-08-17 · Inspire: 35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BioRestorative Therapies, Inc. is a clinical-stage biotechnology company developing regenerative medicine products using adult (non-embryonic) stem cell protocols. Its lead candidate BRTX-100 targets chronic lumbar disc disease using autologous cultured mesenchymal stem cells, with a fully enrolled Phase 2 trial of 99 patients and FDA endorsement of Phase 3 design. The company also operates a biocosmeceutical platform targeting the $28B regenerative aesthetics market and develops ThermoStem for metabolic disorders. Headquartered in Melville, New York, with 14 employees and a market cap of approximately $6 million.</w:t>
      </w:r>
    </w:p>
    <w:p>
      <w:r>
        <w:rPr>
          <w:rFonts w:ascii="Calibri" w:hAnsi="Calibri"/>
          <w:b/>
          <w:color w:val="6E8450"/>
          <w:sz w:val="18"/>
        </w:rPr>
        <w:t>14 Employees · https://www.biorestorative.com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BioRestorative achieved significant clinical milestones in 2026 — completed enrollment of 99 patients across 15 U.S. sites in its Phase 2 BRTX-100 trial (the largest FDA-authorized cell therapy trial in chronic lumbar disc disease), completed manufacturing for the Phase 2 program, and obtained FDA endorsement of the Phase 3 study design via a positive Type B meeting with no safety concerns raised [1][3]. However, the company was founded over a decade ago with no commercial therapeutic products and negligible revenue ($23K in Q1 2026). AI Deployment (0/2): No evidence of AI deployment in drug development, clinical trial design, or operations — unsurprising for a 14-person company focused on stem cell biologics [2]. Market Share (0/2): No commercial products, no market share, and revenue of $358K TTM comes from minimal biocosmeceutical product sales and royalties, not core therapeutic programs [1]. Product Pipeline (1/2): BRTX-100 Phase 2 fully enrolled with FDA-confirmed Phase 3 design and BLA pathway alignment, Phase 3 IND amendment planned for H2 2026, topline results expected early 2027 [3]. ThermoStem received Australian patent allowance. VP of Biocosmeceuticals Zachary Smith and Head of Global Commercial Ops Crystal Romano were hired to build commercial capabilities [2]. R&amp;D Intensity (0/1): R&amp;D spending of $1.93M in Q1 2026 represents 57% of total operating expenses, reflecting a genuinely R&amp;D-driven organization, but absolute spending is negligible compared to any meaningful biotech peer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BioRestorative's focus on regenerative stem cell therapies for chronic pain and metabolic disorders represents a clear, socially meaningful purpose — chronic lower back pain affects tens of millions globally with limited effective treatments [2][3]. CEO Alstodt's shareholder letter emphasizes 'major milestones, regulatory alignment, clinical execution' in pursuit of this mission. The purpose is genuine but not yet validated by execution or multi-decade consistency. Community Impact (0/2): No evidence of community programs or charitable initiatives beyond the therapeutic mission itself. Employee Retention (0/2): With 14 employees and a $5.76M market cap under going concern warning, retention assessment is not meaningful at this scale. The addition of two independent board members (Randhawa, Brown) and two commercial VPs suggests organizational building [2]. Insider Buying (0/2): No meaningful insider buying despite the stock trading at $0.23, down 88% from its 52-week high of $1.89. Only stock awards and one small insider sale were identified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599,487 shares at $0.23 = $135,482 daily dollar volume, far below the $1M liquidity floor [4]. Infrastructure is automatically scored 0/10 regardless of other metrics. The underlying financial position has deteriorated: Q1 2026 revenue was $23,170 (royalties $11.3K, product sales $11.9K) with a net loss of $2.15M, improved from Q1 2025's $5.34M loss primarily due to lower R&amp;D and G&amp;A spending [1]. Cash of $3.11M plus $479K in marketable securities provides approximately 3-4 months of runway at the Q1 operating cash outflow rate of $3.81M, making additional dilutive capital raises imminent [1]. Total assets of $4.64M against liabilities of $1.61M yield stockholders' equity of $3.03M. Management explicitly states 'substantial doubt about the Company's ability to continue as a going concern.' Nasdaq minimum bid price non-compliance since March 26, 2026, with a September 22, 2026 deadline to regain compliance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BioRestorative operates in pure survival mode with a $5.76M market cap, 14 employees, $23K quarterly revenue, and management-acknowledged going concern risk with only 3-4 months of cash runway. The Nasdaq minimum bid price deadline of September 22, 2026 creates an existential near-term threat. While the regenerative medicine mission is meaningful and the FDA-endorsed Phase 3 pathway represents genuine scientific progress, Sinek's infinite game cannot be played without the financial resources to stay in it.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Developing regenerative stem cell therapies for chronic pain — affecting tens of millions of patients globally — represents a genuinely meaningful cause, and CEO Alstodt's shareholder letter references regulatory alignment and clinical milestones in pursuit of this vision [3]. The Phase 2 enrollment completion and positive FDA Type B meeting demonstrate commitment to the cause. However, the purpose remains shallow in Sinek's framework — over a decade of existence with no commercial products, going concern warnings, and reliance on dilutive offerings suggest the cause serves as a fundraising narrative more than a strategic guide.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14 employees, a $5.76M market cap, a stock price down 88% from its 52-week high, a going concern warning, and a Nasdaq delisting deadline approaching September 22, 2026, organizational stability is severely compromised [1][2]. The addition of two independent board members (Randhawa, Brown) and commercial VPs (Smith, Romano) suggests organizational building, but trust at this scale is a function of survival, not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BioRestorative competes against well-funded regenerative medicine companies — Mesoblast and DiscGenics in disc disease, and numerous cell therapy companies with hundreds of millions in funding. The competitive dynamic at this scale is survival, not learning-oriented rivalry or self-improvement through competitive engagement.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BioRestorative is too small and resource-constrained to demonstrate existential flexibility [1]. The biocosmeceutical platform expansion and ThermoStem program provide pipeline optionality beyond BRTX-100, but these are parallel programs rather than strategic pivots. The company has not reinvented itself and lacks the resources to do so — every strategic decision is dictated by capital constraints.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Persisting as a public company with 14 employees, $23K quarterly revenue, and a going concern warning requires determination, but there is no evidence of leadership making costly long-term bets or principled stances [2]. The $5M public offering and Phase 2 manufacturing completion show execution under pressure, but capital allocation decisions are dictated by survival constraints rather than strategic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BioRestorative's BRTX-100 program has reached a critical inflection point: Phase 2 enrollment of 99 patients is complete across 15 U.S. sites, manufacturing is finished, the FDA has endorsed the Phase 3 design with no safety concerns via a positive Type B meeting, and the Phase 3 IND amendment is planned for H2 2026 with topline results expected early 2027 [1][3]. At a $5.76M market cap with analyst consensus Buy rating and $8.00 price target (3,441% upside), the stock prices in near-total failure — any positive Phase 2 readout, partnership announcement, or Phase 3 IND filing could generate outsized returns. The Inspire Impact Score of 35 (ALIGNED) reflects the socially beneficial nature of regenerative medicine for chronic pain. The zero-debt balance sheet and biocosmeceutical platform expansion (VP of Biocosmeceuticals hired, targeting $28B regenerative aesthetics market) provide modest optionality beyond the lead program [2].</w:t>
      </w:r>
    </w:p>
    <w:p>
      <w:pPr>
        <w:spacing w:after="120"/>
      </w:pPr>
      <w:r>
        <w:rPr>
          <w:rFonts w:ascii="Calibri" w:hAnsi="Calibri"/>
          <w:b w:val="0"/>
          <w:color w:val="3A4A28"/>
          <w:sz w:val="20"/>
        </w:rPr>
        <w:t>The bear case is existential. BioRestorative has 14 employees, $23K quarterly revenue, a $5.76M market cap, ROE of -365%, and management-acknowledged going concern risk [1]. Q1 2026 operating cash outflow of $3.81M against $3.59M in cash and securities implies approximately 3-4 months of runway — another dilutive capital raise is imminent. The stock trades at $0.23, down 88% from its 52-week high, with Nasdaq minimum bid price non-compliance since March 2026 and a September 22, 2026 deadline to regain compliance. Average daily dollar volume of only $135K makes the stock essentially uninvestable at institutional scale. Clinical development has been glacially slow for a company founded over a decade ago with zero commercial therapeutic products. Any Phase 2 failure would likely be terminal for equity investors. The recent share dilution (25.48M shares outstanding with potential for 1.5B authorized shares) provides management with the tool to survive via dilution at the expense of existing shareholders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BRTX-100 Phase 2 topline results expected early 2027 from the 99-patient trial, with interim data showing &gt;74% functional improvement and FDA endorsement of Phase 3 design providing a clear regulatory pathway [3]</w:t>
      </w:r>
    </w:p>
    <w:p>
      <w:pPr>
        <w:spacing w:before="40" w:after="40"/>
        <w:ind w:left="283"/>
      </w:pPr>
      <w:r>
        <w:rPr>
          <w:rFonts w:ascii="Calibri" w:hAnsi="Calibri"/>
          <w:b/>
          <w:color w:val="4A6B25"/>
          <w:sz w:val="20"/>
        </w:rPr>
        <w:t xml:space="preserve">2. </w:t>
      </w:r>
      <w:r>
        <w:rPr>
          <w:rFonts w:ascii="Calibri" w:hAnsi="Calibri"/>
          <w:b w:val="0"/>
          <w:color w:val="3A4A28"/>
          <w:sz w:val="20"/>
        </w:rPr>
        <w:t>Phase 3 IND amendment submission planned H2 2026, with FDA having confirmed study design, endpoints, sample size, and CMC framework — removing significant Phase 3 development uncertainty [3]</w:t>
      </w:r>
    </w:p>
    <w:p>
      <w:pPr>
        <w:spacing w:before="40" w:after="40"/>
        <w:ind w:left="283"/>
      </w:pPr>
      <w:r>
        <w:rPr>
          <w:rFonts w:ascii="Calibri" w:hAnsi="Calibri"/>
          <w:b/>
          <w:color w:val="4A6B25"/>
          <w:sz w:val="20"/>
        </w:rPr>
        <w:t xml:space="preserve">3. </w:t>
      </w:r>
      <w:r>
        <w:rPr>
          <w:rFonts w:ascii="Calibri" w:hAnsi="Calibri"/>
          <w:b w:val="0"/>
          <w:color w:val="3A4A28"/>
          <w:sz w:val="20"/>
        </w:rPr>
        <w:t>Biocosmeceutical platform expansion into the $28B regenerative aesthetics market with VP Zachary Smith and Head of Commercial Crystal Romano could generate near-term revenue while Phase 3 progresses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of approximately 3-4 months at Q1 2026 burn rate ($3.81M operating outflow) against $3.59M in liquid assets necessitates imminent dilutive capital raises, with 1.5B shares authorized for future issuance [1]</w:t>
      </w:r>
    </w:p>
    <w:p>
      <w:pPr>
        <w:spacing w:before="40" w:after="40"/>
        <w:ind w:left="283"/>
      </w:pPr>
      <w:r>
        <w:rPr>
          <w:rFonts w:ascii="Calibri" w:hAnsi="Calibri"/>
          <w:b/>
          <w:color w:val="4A6B25"/>
          <w:sz w:val="20"/>
        </w:rPr>
        <w:t xml:space="preserve">2. </w:t>
      </w:r>
      <w:r>
        <w:rPr>
          <w:rFonts w:ascii="Calibri" w:hAnsi="Calibri"/>
          <w:b w:val="0"/>
          <w:color w:val="3A4A28"/>
          <w:sz w:val="20"/>
        </w:rPr>
        <w:t>Nasdaq delisting risk with minimum bid price non-compliance since March 26, 2026 and a September 22, 2026 compliance deadline — failure would eliminate institutional investability for a stock already trading at $0.23 with $135K daily dollar volume [1][4]</w:t>
      </w:r>
    </w:p>
    <w:p>
      <w:pPr>
        <w:spacing w:before="40" w:after="40"/>
        <w:ind w:left="283"/>
      </w:pPr>
      <w:r>
        <w:rPr>
          <w:rFonts w:ascii="Calibri" w:hAnsi="Calibri"/>
          <w:b/>
          <w:color w:val="4A6B25"/>
          <w:sz w:val="20"/>
        </w:rPr>
        <w:t xml:space="preserve">3. </w:t>
      </w:r>
      <w:r>
        <w:rPr>
          <w:rFonts w:ascii="Calibri" w:hAnsi="Calibri"/>
          <w:b w:val="0"/>
          <w:color w:val="3A4A28"/>
          <w:sz w:val="20"/>
        </w:rPr>
        <w:t>Phase 2 clinical failure of BRTX-100 would likely result in near-total equity loss given the company's $23K quarterly revenue, 14 employees, and limited pipeline alternatives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BioRestorative's core business — autologous stem cell therapy using patient-derived mesenchymal stem cells collected from bone marrow, cultured under cGMP conditions, and reinjected — is inherently physical and biological, requiring laboratory cell culture, surgical collection, and clinical administration that AI cannot substitute [2][3]. The FDA BLA regulatory pathway for cell-based biologics provides additional protection through high barriers that AI tools cannot circumvent. AI-discovered small molecule drugs do not compete with cell-based regenerative therapies, which represent a fundamentally different treatment modality. The biocosmeceutical platform similarly relies on physical biological products, not software. AI Opportunity (0/1): No evidence of AI deployment in drug discovery, clinical trial optimization, or revenue-generating AI applications — the 14-person team lacks the resources for AI initiatives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BioRestorative Therapies Q1 2026 10-Q, Going Concern Warning, and Nasdaq Non-Compliance — SEC Filings, StockTitan, 2026</w:t>
      </w:r>
    </w:p>
    <w:p>
      <w:pPr>
        <w:spacing w:before="20" w:after="20"/>
        <w:ind w:left="170"/>
      </w:pPr>
      <w:r>
        <w:rPr>
          <w:rFonts w:ascii="Calibri" w:hAnsi="Calibri"/>
          <w:b/>
          <w:color w:val="4A6B25"/>
          <w:sz w:val="15"/>
        </w:rPr>
        <w:t xml:space="preserve">2. </w:t>
      </w:r>
      <w:r>
        <w:rPr>
          <w:rFonts w:ascii="Calibri" w:hAnsi="Calibri"/>
          <w:b w:val="0"/>
          <w:color w:val="3A4A28"/>
          <w:sz w:val="17"/>
        </w:rPr>
        <w:t>BioRestorative Leadership Updates, VP Appointments, and Board Governance Changes — GlobeNewsWire, TipRanks, June-July 2026</w:t>
      </w:r>
    </w:p>
    <w:p>
      <w:pPr>
        <w:spacing w:before="20" w:after="20"/>
        <w:ind w:left="170"/>
      </w:pPr>
      <w:r>
        <w:rPr>
          <w:rFonts w:ascii="Calibri" w:hAnsi="Calibri"/>
          <w:b/>
          <w:color w:val="4A6B25"/>
          <w:sz w:val="15"/>
        </w:rPr>
        <w:t xml:space="preserve">3. </w:t>
      </w:r>
      <w:r>
        <w:rPr>
          <w:rFonts w:ascii="Calibri" w:hAnsi="Calibri"/>
          <w:b w:val="0"/>
          <w:color w:val="3A4A28"/>
          <w:sz w:val="17"/>
        </w:rPr>
        <w:t>BioRestorative CEO Shareholder Letter, FDA Type B Meeting Results, Phase 2 Manufacturing Completion, and ISCT 2026 Data Presentation — ir.biorestorative.com, InvestingNews,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and Investing.com — BRTX Key Statistics, Volume Data,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