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BSM</w:t>
      </w:r>
      <w:r>
        <w:rPr>
          <w:rFonts w:ascii="Calibri" w:hAnsi="Calibri"/>
          <w:b/>
          <w:color w:val="1A2010"/>
          <w:sz w:val="40"/>
        </w:rPr>
        <w:t xml:space="preserve">  Black Stone Minerals, L.P.</w:t>
      </w:r>
    </w:p>
    <w:p>
      <w:pPr>
        <w:spacing w:after="120"/>
      </w:pPr>
      <w:r>
        <w:rPr>
          <w:rFonts w:ascii="Calibri" w:hAnsi="Calibri"/>
          <w:b/>
          <w:color w:val="6E8450"/>
          <w:sz w:val="18"/>
        </w:rPr>
        <w:t>DIVIDEND SLEEVE · 2026-08-21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Black Stone Minerals, L.P. is one of the largest owners of oil and natural gas mineral interests in the United States, with approximately 16.9 million gross acres of mineral interests, 1.8 million gross acres of nonparticipating royalty interests, and 1.6 million gross acres of overriding royalty interests across 41 states [2]. As a pure-play mineral and royalty company founded in 1876, BSM collects royalty income from E&amp;P operators without bearing drilling or operating costs. Q2 2026 net income surged to $106.4M with Adjusted EBITDA of $91.3M, and the board increased the quarterly distribution 7% to $0.32/unit [1].</w:t>
      </w:r>
    </w:p>
    <w:p>
      <w:r>
        <w:rPr>
          <w:rFonts w:ascii="Calibri" w:hAnsi="Calibri"/>
          <w:b/>
          <w:color w:val="6E8450"/>
          <w:sz w:val="18"/>
        </w:rPr>
        <w:t>70 Employees · https://www.blackstoneminerals.com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Black Stone Minerals operates a pure-play mineral and royalty ownership model that has remained fundamentally unchanged since its founding. The company does not drill wells, develop products, or make business model pivots — it passively collects royalties from operators who develop its ~16.9 million gross acres [2]. No product launches or market transformations in the last five years. AI Deployment (0/2): No AI-powered products or AI-driven cost savings. Operations consist of land management, lease administration, and royalty collection — activities that have not been augmented with AI tools in any reported fashion [2]. Market Share (2/2): BSM is one of the largest mineral rights owners in the continental United States with approximately 16.9 million gross acres across 41 states, providing dominant scale and diversification in the fragmented mineral rights space [2]. The acreage spans every major U.S. basin, a geographic footprint that smaller mineral owners cannot match. Product Pipeline (0/2): No product pipeline — growth depends on commodity prices and operator activity on its acreage rather than internally developed products or services. R&amp;D Intensity (0/1): Zero R&amp;D spend. The mineral rights model requires no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BSM's stated objective is maximizing returns for unitholders through mineral rights ownership [2]. This is a financial objective, not an articulated purpose beyond making money. Community Impact (0/2): No evidence of charitable programs, foundation activity, or community investment. As a ~70-employee partnership focused on mineral rights administration, the company publishes no sustainability report and has minimal community engagement beyond landowner royalty payments. Employee Retention (0/2): No publicly available data on employee satisfaction, voluntary turnover, or average tenure. With approximately 70 employees, the company is too small for standardized culture metrics. Insider Buying (2/2): Director D. Mark DeWalch purchased over $1.4M in common units in May 2026, including 37,650 and 72,726 unit transactions [3]. Executive Chairman Tom Carter also purchased 1,120 units. This represents meaningful net insider buying by multiple insiders with specific dollar amounts, signaling strong conviction in the partnership's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BSM's royalty model produces exceptional margins with minimal capital requirements. D/E of 18% is pristine, scoring maximum on balance sheet strength [3]. ROE of 25.59% and profit margin of 66.95% both well exceed their targets, reflecting the asset-light nature of mineral ownership where BSM bears no drilling or operating costs [3]. Revenue growth YoY of 36.6% (driven by Q1 production increase of 16% QoQ and higher commodity realizations) and forward P/E of 12.95 both score at maximum [1][3]. The key weaknesses are in dividend metrics: payout ratio of 76.2% scores 0.40, consecutive years of distribution growth is 0 given cuts from $0.475/quarter in 2024 to $0.30 in 2025 (now recovering to $0.32 in Q2 2026), and the 5-year distribution growth CAGR is negative reflecting commodity-driven volatility [1][3]. Liquidity cleared: 293,944 avg vol multiplied by $14.62 = $4.3M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Black Stone Minerals is a family-controlled partnership optimized for income distribution rather than purpose-driven endurance. The Carter family has stewarded the asset base since 1876 — an extraordinary 150-year heritage — with financial discipline and conservative leverage, but the company's explicit purpose is maximizing unitholder returns, a finite objective. The January 2026 co-CEO transition to Fowler Carter and Taylor DeWalch maintains family continuity but does not introduce a broader cause or transformative vision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BSM's stated purpose is maximizing returns for unitholders through mineral rights ownership — a financial objective, not a Just Cause in Sinek's framework [2]. There is no articulated vision of a better future that inspires sacrifice. The company exists to collect royalties and distribute cash. While the 150-year heritage dating to W.T. Carter &amp; Bro. provides extraordinary historical continuity, the purpose has always been extracting value from natural resources rather than advancing a cause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BSM is a small, family-controlled organization with approximately 70 employees [2]. The leadership team features long-tenured executives — Steve Putman (General Counsel since 2014), Chris Bonner (CFO since 2018), Fowler Carter (16+ years), and Taylor DeWalch (11+ years) — suggesting a stable, low-turnover environment. The board has 10.8 years average tenure. The orderly January 2026 co-CEO transition from Tom Carter to Fowler Carter and Taylor DeWalch was planned rather than crisis-driven [4]. However, family-controlled governance may limit psychological safety for non-family members.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BSM operates alongside Viper Energy (VNOM), Texas Pacific Land (TPL), and Kimbell Royalty Partners (KRP), but management commentary focuses on BSM's acreage position and distribution capacity rather than learning from competitors' strengths [1]. The competitive narrative is about scale ('one of the largest')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BSM has operated the same mineral rights ownership model since its founding with no strategic pivots or business model transformations [2]. The company has grown acreage through acquisitions but has never fundamentally reimagined what it does — it collects royalties from E&amp;P operators. When commodity prices crashed in 2020, BSM cut distributions rather than transforming its business. The model is inherently rigid: mineral rights are a static asset class with no pivot path.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Carter family maintained financial discipline through multiple commodity cycles over four decades, keeping D/E at 18% when peers leveraged up for acquisitions [3]. The decision to maintain a conservative balance sheet through the 2014-2016 and 2020 commodity downturns protected unitholders from the dilutive equity raises that plagued levered E&amp;P companies. The Q2 2026 distribution increase of 7% to $0.32/unit signals confidence in the recovery [1]. However, the prior distribution cuts from $0.475 to $0.30 were reactive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Stone Minerals offers a high-yield (8.57%) income stream from one of the largest mineral rights portfolios in the U.S. — ~16.9 million gross acres across 41 states [2]. The royalty model produces 66.95% profit margins with minimal capital requirements and pristine leverage (D/E 18%), while Q2 2026 net income surged to $106.4M with Adjusted EBITDA of $91.3M [1][3]. Forward P/E of 12.95 is well below the market average, and the business is structurally immune to AI disruption. The Q2 2026 distribution increase of 7% to $0.32/unit signals improving fundamentals, and mineral/royalty production grew 16% QoQ in Q1 2026 to 35.9 MBoe/d [1]. Director DeWalch's $1.4M+ insider purchases in May 2026 demonstrate strong leadership conviction [3]. The Inspire Impact Score of 62 (ALIGNED) with 4 positive attributions and zero negatives reflects faith-alignment compatibility.</w:t>
      </w:r>
    </w:p>
    <w:p>
      <w:pPr>
        <w:spacing w:after="120"/>
      </w:pPr>
      <w:r>
        <w:rPr>
          <w:rFonts w:ascii="Calibri" w:hAnsi="Calibri"/>
          <w:b w:val="0"/>
          <w:color w:val="3A4A28"/>
          <w:sz w:val="20"/>
        </w:rPr>
        <w:t>The bear case centers on commodity price sensitivity, distribution volatility, and limited growth levers. Revenue has been highly cyclical — declining from $784M peak (2022) to $422M (2025) as commodity prices normalized, though TTM revenue is now growing 36.6% [1][3]. Distributions were cut from $0.475/quarter to $0.30 between 2024-2025, and the payout ratio of 76.2% provides limited cushion if commodity prices weaken again [3]. BSM has no ability to control its revenue trajectory — income depends entirely on commodity prices and third-party operator activity on its acreage. The partnership structure limits access to capital markets. The 5-year distribution growth CAGR of -3.0% reflects the fundamental income instability of a commodity-driven royalty business, and consecutive years of distribution growth stands at 0 despite the recent increase [3]. Innovation and Inspiration scores are weak (2 each) as the company lacks any strategic optionality, purpose statement, or community engagement beyond collecting royalties — BSM is a pure commodity bet dependent on oil and gas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distribution increased 7% to $0.32/unit with net income of $106.4M, signaling improving cash flow trajectory as commodity prices stabilize and operator activity increases on BSM acreage [1]</w:t>
      </w:r>
    </w:p>
    <w:p>
      <w:pPr>
        <w:spacing w:before="40" w:after="40"/>
        <w:ind w:left="283"/>
      </w:pPr>
      <w:r>
        <w:rPr>
          <w:rFonts w:ascii="Calibri" w:hAnsi="Calibri"/>
          <w:b/>
          <w:color w:val="4A6B25"/>
          <w:sz w:val="20"/>
        </w:rPr>
        <w:t xml:space="preserve">2. </w:t>
      </w:r>
      <w:r>
        <w:rPr>
          <w:rFonts w:ascii="Calibri" w:hAnsi="Calibri"/>
          <w:b w:val="0"/>
          <w:color w:val="3A4A28"/>
          <w:sz w:val="20"/>
        </w:rPr>
        <w:t>Mineral/royalty production grew 16% QoQ to 35.9 MBoe/d in Q1 2026, with operators increasing drilling activity particularly in natural gas-weighted basins where rising LNG export demand supports pricing [1]</w:t>
      </w:r>
    </w:p>
    <w:p>
      <w:pPr>
        <w:spacing w:before="40" w:after="40"/>
        <w:ind w:left="283"/>
      </w:pPr>
      <w:r>
        <w:rPr>
          <w:rFonts w:ascii="Calibri" w:hAnsi="Calibri"/>
          <w:b/>
          <w:color w:val="4A6B25"/>
          <w:sz w:val="20"/>
        </w:rPr>
        <w:t xml:space="preserve">3. </w:t>
      </w:r>
      <w:r>
        <w:rPr>
          <w:rFonts w:ascii="Calibri" w:hAnsi="Calibri"/>
          <w:b w:val="0"/>
          <w:color w:val="3A4A28"/>
          <w:sz w:val="20"/>
        </w:rPr>
        <w:t>Director DeWalch's $1.4M+ insider purchases and conservative D/E of 18% provide conviction signal and capacity for accretive mineral rights acquisitions or further distribution increases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Distributions were cut 37% from $0.475 to $0.30/quarter between 2024-2025, and the 5-year distribution growth CAGR of -3.0% demonstrates income instability that makes BSM unsuitable for investors requiring predictable dividend growth [3]</w:t>
      </w:r>
    </w:p>
    <w:p>
      <w:pPr>
        <w:spacing w:before="40" w:after="40"/>
        <w:ind w:left="283"/>
      </w:pPr>
      <w:r>
        <w:rPr>
          <w:rFonts w:ascii="Calibri" w:hAnsi="Calibri"/>
          <w:b/>
          <w:color w:val="4A6B25"/>
          <w:sz w:val="20"/>
        </w:rPr>
        <w:t xml:space="preserve">2. </w:t>
      </w:r>
      <w:r>
        <w:rPr>
          <w:rFonts w:ascii="Calibri" w:hAnsi="Calibri"/>
          <w:b w:val="0"/>
          <w:color w:val="3A4A28"/>
          <w:sz w:val="20"/>
        </w:rPr>
        <w:t>Zero control over revenue drivers — BSM's income depends entirely on commodity prices and third-party operator drilling decisions on its acreage, with no ability to create value through operational improvement or strategic pivots [2]</w:t>
      </w:r>
    </w:p>
    <w:p>
      <w:pPr>
        <w:spacing w:before="40" w:after="40"/>
        <w:ind w:left="283"/>
      </w:pPr>
      <w:r>
        <w:rPr>
          <w:rFonts w:ascii="Calibri" w:hAnsi="Calibri"/>
          <w:b/>
          <w:color w:val="4A6B25"/>
          <w:sz w:val="20"/>
        </w:rPr>
        <w:t xml:space="preserve">3. </w:t>
      </w:r>
      <w:r>
        <w:rPr>
          <w:rFonts w:ascii="Calibri" w:hAnsi="Calibri"/>
          <w:b w:val="0"/>
          <w:color w:val="3A4A28"/>
          <w:sz w:val="20"/>
        </w:rPr>
        <w:t>Revenue declined 46% from the 2022 peak ($784M to $422M), and while TTM growth has rebounded to 36.6%, this reflects cyclical commodity recovery rather than structural growth, creating risk of renewed decline if oil/gas prices weaken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Black Stone Minerals owns physical subsurface mineral rights across ~16.9 million gross acres — AI cannot displace, replicate, or substitute ownership of in-ground hydrocarbons [2]. Revenue comes from royalties tied to physical commodity extraction by third-party operators. No AI tool can produce oil or natural gas without drilling wells on BSM's acreage and paying royalties. The business is structurally immune to AI disruption — regulatory and legal frameworks governing mineral rights predate AI by over a century. AI-driven efficiency improvements by E&amp;P operators (better well placement, optimized drilling) could increase production on BSM's acreage, marginally benefiting royalty income. AI data center expansion is driving incremental natural gas demand for power generation. AI Opportunity (0/1): BSM does not generate revenue from AI products or services. The company is a passive royalty collector with ~70 employees performing land management and lease administration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Stone Minerals Q2 2026 Earnings Release — Net income $106.4M, Adjusted EBITDA $91.3M, distribution increased 7% to $0.32/unit, Q1 production 35.9 MBoe/d (+16% QoQ), July 2026</w:t>
      </w:r>
    </w:p>
    <w:p>
      <w:pPr>
        <w:spacing w:before="20" w:after="20"/>
        <w:ind w:left="170"/>
      </w:pPr>
      <w:r>
        <w:rPr>
          <w:rFonts w:ascii="Calibri" w:hAnsi="Calibri"/>
          <w:b/>
          <w:color w:val="4A6B25"/>
          <w:sz w:val="15"/>
        </w:rPr>
        <w:t xml:space="preserve">2. </w:t>
      </w:r>
      <w:r>
        <w:rPr>
          <w:rFonts w:ascii="Calibri" w:hAnsi="Calibri"/>
          <w:b w:val="0"/>
          <w:color w:val="3A4A28"/>
          <w:sz w:val="17"/>
        </w:rPr>
        <w:t>Black Stone Minerals Company Website and StockAnalysis Profile — ~16.9M gross acres across 41 states, royalty model, ~70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StockAnalysis/CNBC/Yahoo Finance — BSM Key Statistics: D/E 18%, ROE 25.59%, Profit Margin 66.95%, Forward PE 12.95, Stock Price $14.62, Distribution Yield 8.57%,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St/BusinessWire — Co-CEO transition: Thomas L. Carter Jr. to Executive Chairman, Fowler T. Carter and H. Taylor DeWalch as Co-CEOs effective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