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CAG</w:t>
      </w:r>
      <w:r>
        <w:rPr>
          <w:rFonts w:ascii="Calibri" w:hAnsi="Calibri"/>
          <w:b/>
          <w:color w:val="1A2010"/>
          <w:sz w:val="40"/>
        </w:rPr>
        <w:t xml:space="preserve">  Conagra Brands, Inc.</w:t>
      </w:r>
    </w:p>
    <w:p>
      <w:pPr>
        <w:spacing w:after="120"/>
      </w:pPr>
      <w:r>
        <w:rPr>
          <w:rFonts w:ascii="Calibri" w:hAnsi="Calibri"/>
          <w:b/>
          <w:color w:val="6E8450"/>
          <w:sz w:val="18"/>
        </w:rPr>
        <w:t>DIVIDEND SLEEVE · 2026-08-16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Conagra Brands manufactures and markets branded consumer packaged foods across the frozen, snacks, and shelf-stable categories, with brands including Birds Eye, Marie Callender's, Banquet, Slim Jim, and Duncan Hines. Founded in 1919 and headquartered in Chicago, the company reported FY2026 revenue of $11.28B, a GAAP net loss of $1.92B, and is undergoing a leadership transition to new CEO John Brase alongside a strategic reset that includes a 50% dividend cut announced in July 2026.</w:t>
      </w:r>
    </w:p>
    <w:p>
      <w:r>
        <w:rPr>
          <w:rFonts w:ascii="Calibri" w:hAnsi="Calibri"/>
          <w:b/>
          <w:color w:val="6E8450"/>
          <w:sz w:val="18"/>
        </w:rPr>
        <w:t>17,400 Employees · https://www.conagrabrands.com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Conagra has pursued incremental portfolio management under outgoing CEO Sean Connolly — brand-building in frozen and snacks alongside non-core divestitures — but no transformative pivot has occurred, and FY2026 closed with a $1.92B GAAP net loss and the company's removal from the S&amp;P 500 [1][3]. AI Deployment (0/2): No evidence of AI-powered products shipping to customers or quantified AI-driven cost savings was identified. Market Share (0/2): Revenue has declined for three consecutive years (FY2023 $12.28B to FY2026 $11.28B), and FY2027 guidance calls for further mid-single-digit organic sales declines — evidence of share and scale erosion, not leadership [1]. Product Pipeline (0/2): No specific next-generation products with named launch dates or revenue visibility were found; current management focus is cost-cutting and deleveraging rather than innovation. R&amp;D Intensity (0/1): No evidence of above-industry-average R&amp;D spend; the company is in a strategic reset and cost-reduction posture.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Conagra's stated mission of 'nourishing our people, the planet and our communities,' paired with an aspiration to have 'the most impactful, energized, and inclusive culture in food,' is clear but generic and interchangeable with peer packaged-food companies [2]. Community Impact (0/2): No specific charitable dollar amounts or distinctive community programs were identified in current research. Employee Retention (0/2): Glassdoor reviews describe the company as 'reduced to a sad shell of a company' with 'a vibrant culture replaced with an all-time low morale,' and note that investment in systems and tools has not delivered expected efficiency gains [3]. Insider Buying (0/2): No evidence of insider buying was found; the company is mid-CEO-transition with John Brase succeeding Sean Connolly in June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10.80 is attractively low, and the 51-year unbroken dividend payment streak (since January 1976) anchors the dividend component [4]. However, ROE is deeply negative at -25.06% and profit margin is -17.02%, both driven by the FY2026 $1.92B GAAP net loss tied to impairments and restructuring charges [1][4]. D/E of 118% is above the 70% target. Revenue growth is negative both YoY (-2.9%) and on a 5-year CAGR basis (-0.67%), reflecting structural category decline. Most consequentially, CEO Brase cut the quarterly dividend 50% (from $0.35 to $0.175) in July 2026 as part of a deleveraging-focused strategic reset — resetting the consecutive dividend growth streak to zero and producing a negative 5-year dividend growth CAGR of approximately -11% (from $1.25/share in 2021 to $0.70/share annualized in 2026) [1][4]. Payout ratio is not meaningful given the GAAP net loss and is excluded from scoring.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Conagra is a company in crisis-management mode, not infinite-game mode. The 50% dividend cut, GAAP net loss, S&amp;P 500 removal, and CEO transition all point to a company fighting to stabilize its balance sheet rather than one guided by consistent purpose through a market cycle. The dividend cut itself shows some courage, but broader signals — low employee morale, generic mission language, no clear pipeline — indicate a finite-game posture focused on near-term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Conagra's mission of 'nourishing our people, the planet and our communities' reads as marketing language interchangeable with any food company, and the current crisis (net loss, dividend cut, index removal) suggests strategic decisions are being driven by financial necessity rather than a lived purpose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describing 'all-time low morale' and a culture 'reduced to a sad shell' alongside systems investments that have failed to deliver expected efficiency gains point to a low-trust environment amid the ongoing restructuring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available management commentary; the packaged-food category is under broad pressure from private label and GLP-1-driven volume shifts, but no specific 'learning from competitors' language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CEO transition to John Brase (former Smucker COO) and the comprehensive strategic reset represent some adaptation to changed conditions, but the core packaged-food manufacturing model remains unchanged — this is incremental restructuring, not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John Brase's decision to cut the dividend 50% to accelerate deleveraging and fund reinvestment is a genuinely costly near-term move — sacrificing dividend-investor goodwill for balance sheet repair — representing real courage even though it was arguably necessitated by the severity of the financial situation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Conagra trades at a discounted 10.80x forward P/E with a 51-year unbroken dividend payment history, and new CEO John Brase's decisive 50% dividend cut in July 2026 frees up capital to accelerate deleveraging as part of a comprehensive strategic reset [1][4]. The company retains scale and category positions in frozen (Birds Eye, Marie Callender's) and snacks (Slim Jim, Duncan Hines), and management's willingness to reset the payout in favor of balance sheet health, rather than protecting the dividend at all costs, signals a pragmatic capital allocation shift under new leadership.</w:t>
      </w:r>
    </w:p>
    <w:p>
      <w:pPr>
        <w:spacing w:after="120"/>
      </w:pPr>
      <w:r>
        <w:rPr>
          <w:rFonts w:ascii="Calibri" w:hAnsi="Calibri"/>
          <w:b w:val="0"/>
          <w:color w:val="3A4A28"/>
          <w:sz w:val="20"/>
        </w:rPr>
        <w:t>The bear case is dominated by a deteriorating fundamental picture. Conagra reported a FY2026 GAAP net loss of $1.92B on revenue of $11.28B (down 2.9% YoY), with ROE of -25.06% and profit margin of -17.02%, and FY2027 guidance calls for further mid-single-digit organic sales declines with operating margin compressing to 10-10.5% versus roughly 16% several years ago [1]. The company was removed from the S&amp;P 500 in the same period as the dividend cut, and 5-year revenue CAGR is negative at -0.67%, indicating structural, not cyclical, category headwinds from private label competition and shifting consumer preferences. Glassdoor reviews citing 'all-time low morale' and D/E of 118% (above the 70% target) further compound the risk picture, and the newly reset dividend growth streak (0 consecutive years of growth, -10.95% 5-year CAGR) removes what was previously Conagra's strongest Infrastructure asset.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John Brase's strategic reset and accelerated deleveraging from the 50% dividend cut could stabilize the balance sheet and set up a re-rating from the current 10.80x forward P/E if execution proves out over FY2027 [1][4]</w:t>
      </w:r>
    </w:p>
    <w:p>
      <w:pPr>
        <w:spacing w:before="40" w:after="40"/>
        <w:ind w:left="283"/>
      </w:pPr>
      <w:r>
        <w:rPr>
          <w:rFonts w:ascii="Calibri" w:hAnsi="Calibri"/>
          <w:b/>
          <w:color w:val="4A6B25"/>
          <w:sz w:val="20"/>
        </w:rPr>
        <w:t xml:space="preserve">2. </w:t>
      </w:r>
      <w:r>
        <w:rPr>
          <w:rFonts w:ascii="Calibri" w:hAnsi="Calibri"/>
          <w:b w:val="0"/>
          <w:color w:val="3A4A28"/>
          <w:sz w:val="20"/>
        </w:rPr>
        <w:t>Stabilization of organic sales trends following the FY2027 mid-single-digit decline guidance would validate that the worst of the volume erosion has been absorbed into estimates [1]</w:t>
      </w:r>
    </w:p>
    <w:p>
      <w:pPr>
        <w:spacing w:before="40" w:after="40"/>
        <w:ind w:left="283"/>
      </w:pPr>
      <w:r>
        <w:rPr>
          <w:rFonts w:ascii="Calibri" w:hAnsi="Calibri"/>
          <w:b/>
          <w:color w:val="4A6B25"/>
          <w:sz w:val="20"/>
        </w:rPr>
        <w:t xml:space="preserve">3. </w:t>
      </w:r>
      <w:r>
        <w:rPr>
          <w:rFonts w:ascii="Calibri" w:hAnsi="Calibri"/>
          <w:b w:val="0"/>
          <w:color w:val="3A4A28"/>
          <w:sz w:val="20"/>
        </w:rPr>
        <w:t>Portfolio simplification and cost discipline under new leadership could restore operating margin toward historical levels above the current 10-10.5% FY2027 guidance range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GAAP net loss of $1.92B and negative ROE of -25.06% reflect a business in active distress, with FY2027 guidance calling for further mid-single-digit organic sales declines rather than stabilization [1]</w:t>
      </w:r>
    </w:p>
    <w:p>
      <w:pPr>
        <w:spacing w:before="40" w:after="40"/>
        <w:ind w:left="283"/>
      </w:pPr>
      <w:r>
        <w:rPr>
          <w:rFonts w:ascii="Calibri" w:hAnsi="Calibri"/>
          <w:b/>
          <w:color w:val="4A6B25"/>
          <w:sz w:val="20"/>
        </w:rPr>
        <w:t xml:space="preserve">2. </w:t>
      </w:r>
      <w:r>
        <w:rPr>
          <w:rFonts w:ascii="Calibri" w:hAnsi="Calibri"/>
          <w:b w:val="0"/>
          <w:color w:val="3A4A28"/>
          <w:sz w:val="20"/>
        </w:rPr>
        <w:t>The 50% dividend cut breaks a 51-year payment streak's growth trajectory and signals to income investors that the balance sheet is more stretched than previously understood, with D/E at 118% against a 70% target [1][4]</w:t>
      </w:r>
    </w:p>
    <w:p>
      <w:pPr>
        <w:spacing w:before="40" w:after="40"/>
        <w:ind w:left="283"/>
      </w:pPr>
      <w:r>
        <w:rPr>
          <w:rFonts w:ascii="Calibri" w:hAnsi="Calibri"/>
          <w:b/>
          <w:color w:val="4A6B25"/>
          <w:sz w:val="20"/>
        </w:rPr>
        <w:t xml:space="preserve">3. </w:t>
      </w:r>
      <w:r>
        <w:rPr>
          <w:rFonts w:ascii="Calibri" w:hAnsi="Calibri"/>
          <w:b w:val="0"/>
          <w:color w:val="3A4A28"/>
          <w:sz w:val="20"/>
        </w:rPr>
        <w:t>Persistently negative 5-year revenue CAGR (-0.67%) alongside recent S&amp;P 500 removal indicates structural category decline from private label and shifting consumer preferences that cost-cutting alone cannot reverse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Conagra's core business — manufacturing and distributing physical branded frozen, snack, and shelf-stable foods through retail channels — faces minimal direct AI substitution risk; consumers will continue buying frozen dinners and snacks regardless of AI advances, and physical manufacturing/retail relationships create structural moats [1]. This protection is offset by the severity of Conagra's non-AI-related fundamental erosion (declining sales, margin compression, S&amp;P 500 removal), which is a bigger near-term threat than AI disruption. AI Opportunity (0/1): No evidence of quantified AI-driven revenue or cost savings was identified for Conagra specifically.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Conagra Brands FY2026 Q4 Earnings Release, Strategic Reset, and Dividend Cut Announcement — Conagra Brands Newsroom and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Conagra Brands Mission, Vision &amp; Values — Comparably and Conagra Brands Corporate Social Responsibility page,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Conagra Brands Employee Reviews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CAG (Conagra Brands, Inc.) key statistics, financial ratios, and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