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CAT</w:t>
      </w:r>
      <w:r>
        <w:rPr>
          <w:rFonts w:ascii="Calibri" w:hAnsi="Calibri"/>
          <w:b/>
          <w:color w:val="1A2010"/>
          <w:sz w:val="40"/>
        </w:rPr>
        <w:t xml:space="preserve">  Caterpillar Inc.</w:t>
      </w:r>
    </w:p>
    <w:p>
      <w:pPr>
        <w:spacing w:after="120"/>
      </w:pPr>
      <w:r>
        <w:rPr>
          <w:rFonts w:ascii="Calibri" w:hAnsi="Calibri"/>
          <w:b/>
          <w:color w:val="6E8450"/>
          <w:sz w:val="18"/>
        </w:rPr>
        <w:t>DIVIDEND SLEEVE · 2026-08-27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Caterpillar is the world's largest manufacturer of construction and mining equipment, off-highway diesel and natural gas engines, industrial gas turbines, and diesel-electric locomotives. The company operates through three primary segments: Construction Industries, Resource Industries, and Energy &amp; Transportation. Under CEO Joe Creed (Chairman since April 2026), CAT is experiencing a historic growth cycle driven by AI data center power generation demand, U.S. infrastructure investment, and global reindustrialization. Q2 2026 revenue hit a record $20.5B (+24% YoY) with backlog soaring 92% to $72.1B.</w:t>
      </w:r>
    </w:p>
    <w:p>
      <w:r>
        <w:rPr>
          <w:rFonts w:ascii="Calibri" w:hAnsi="Calibri"/>
          <w:b/>
          <w:color w:val="6E8450"/>
          <w:sz w:val="18"/>
        </w:rPr>
        <w:t>115,000 Employees · https://www.caterpillar.com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Caterpillar has executed a major business model expansion into data center power generation — the Energy &amp; Transportation segment's power generation revenue surged 48% in Q2 2026, driven by large gensets and gas turbines for AI data centers, opening a transformative new revenue stream for a 100-year-old industrial company [1]. The company also commercially deployed autonomous mining trucks (Cat 793 autonomous) generating measurable productivity gains for mining customers. AI Deployment (2/2): Cat MineStar Command autonomous haulage system operates commercial mining fleets across multiple continents, while Cat Digital's predictive analytics platform uses machine learning to monitor over 1.6M connected assets, generating AI-driven maintenance recommendations that reduce unplanned downtime [3]. Market Share (2/2): Caterpillar holds the #1 global market share in construction equipment, mining trucks, and reciprocating engines — construction segment revenue grew 35% in Q2 with North America up 50%, demonstrating dominant competitive positioning in its core categories [1]. Product Pipeline (1/2): Three core megatrends drive CAT's pipeline — autonomy (expanding beyond mining to construction), electrification (battery-electric medium equipment), and alternative fuels (hydrogen-ready engines) — but specific next-gen product launch dates with revenue visibility are not publicly detailed beyond general R&amp;D roadmaps [3]. R&amp;D Intensity (1/1): Caterpillar's R&amp;D spending is in line with heavy industrial machinery peers at approximately 3-4% of revenue, with targeted investment in autonomy, digital capabilities, and power generation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Caterpillar's stated purpose — 'We make sustainable progress possible and drive positive change on every continent' — is clear and identifies the company's role in global infrastructure development, but it reads as interchangeable with other large industrial firms and does not articulate a deeply distinctive or bold future state [3]. Community Impact (1/2): The Caterpillar Foundation has donated over $830M since inception, focused on poverty alleviation, environmental stewardship, and workforce development programs in communities where CAT operates, representing meaningful but standard corporate philanthropy for a Fortune 50 company [7]. Employee Retention (1/2): Average tenure data is not publicly available; Glassdoor reviews show a 4.0+ overall rating but recent reviews cite a shift toward a 'culture of surveillance' and chaotic urgency under new leadership, suggesting mixed retention signals despite competitive industrial compensation [3]. Insider Buying (0/2): Significant net insider selling in 2026 — over $87M in the last 90 days, with CFO Bonfield ($14.4M), Group President De Lange ($31.9M combined), and multiple other executives disposing of shares ahead of retirement and leadership transitions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Caterpillar demonstrates exceptional profitability with ROE of 56.97% (well above 15% target) and strong revenue momentum — TTM revenue of $74.7B reflects 18% YoY growth and a 10.5% 5-year CAGR, both exceeding targets [1][4]. The 27% payout ratio, 33 consecutive years of dividend growth, 93 years of continuous payments, and 7.95% 5-year dividend growth CAGR all score maximum on dividend metrics [6]. The primary drags are the elevated D/E of 233% (driven by Cat Financial's $45.1B lending portfolio, scoring 0.29) and profit margin of 14.51% (below the 20% target, scoring 0.73) [4]. Forward P/E of 29.32x is above the 20x target but below the 60 floor (scoring 0.77). Liquidity easily clears the floor at approximately $1.85B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Caterpillar is a century-old institution that has endured two World Wars, the Great Depression, and multiple commodity cycles by maintaining focus on building the world's infrastructure. The recent pivot to data center power generation demonstrates adaptive capability, and the orderly CEO succession from Umpleby to Creed reflects institutional continuity. However, the company's competitive language often emphasizes market share dominance, recent cultural concerns on Glassdoor suggest trust erosion, and heavy insider selling signals some finite-game behavior among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Caterpillar's century-long commitment to building the world's infrastructure constitutes a genuine, partially lived cause — the company has operated through two World Wars, the Great Depression, multiple commodity cycles, and industry disruptions, consistently returning to its core purpose of enabling construction, mining, and energy development [1]. The recent pivot to data center power demonstrates the cause adapting to new forms of infrastructure demand. However, the Just Cause is more institutional than inspirational — it reflects what CAT does rather than articulating a bold future state that does not yet exist.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Caterpillar maintains a stable workforce of approximately 115,000 employees with competitive industrial compensation, and the CEO succession from Jim Umpleby to Joe Creed was orderly and planned, reflecting institutional maturity [3]. However, recent Glassdoor reviews describe a cultural shift toward increased surveillance and chaotic urgency without clear prioritization under new leadership, and the CFO transition (Bonfield retiring October 2026, Epley appointed May 2026) adds organizational flux during peak growth demands.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Management acknowledges competitive dynamics with Komatsu, John Deere, and Cummins constructively, focusing earnings call language on operational execution, customer value creation, and market opportunity rather than competitive warfare [1][2]. CEO Creed's commentary emphasizes CAT's own improvement trajectory and customer partnerships rather than market share capture from rivals,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Caterpillar's expansion from traditional construction and mining equipment into data center power generation represents significant strategic adaptation — a 100-year-old heavy equipment company recognizing that AI infrastructure is the next frontier for its turbine and engine technology, driving 48% power generation revenue growth [1]. The autonomous mining pivot also demonstrates willingness to evolve core products. However, these are adjacent-market expansions leveraging existing capabilities rather than transformative business model reinventions that required abandoning profitable legacy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Joe Creed, a 29-year company veteran who became Chairman in April 2026, invested heavily in autonomous mining and data center power generation capabilities years before the AI boom validated these bets [3]. The company maintained R&amp;D spending through the 2020 downturn and committed capital to electrification despite uncertain near-term returns. However, Caterpillar has been criticized for slow movement on electrification relative to European peers, and heavy share buybacks alongside $87M+ in insider selling suggest some prioritization of near-term shareholder returns over long-term capability building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Caterpillar at $850 is the dominant global franchise in construction and mining equipment riding the most powerful capex super-cycle in decades — record Q2 2026 revenue of $20.5B (+24% YoY), record backlog of $72.1B (+92% YoY), and a guidance raise to mid-to-high-teens growth reflect demand driven by AI data center construction, U.S. infrastructure investment, and global reindustrialization [1]. The Energy &amp; Transportation segment's power generation revenue surged 48% as hyperscalers deploy CAT turbines and gensets at scale, with orders extending into 2030. ROE of 56.97%, a 27% payout ratio supporting a 33-year dividend growth streak at 7.95% CAGR, and $74.7B in TTM revenue demonstrate a capital-efficient franchise returning cash while investing in autonomous and AI-powered equipment platforms [4][6].</w:t>
      </w:r>
    </w:p>
    <w:p>
      <w:pPr>
        <w:spacing w:after="120"/>
      </w:pPr>
      <w:r>
        <w:rPr>
          <w:rFonts w:ascii="Calibri" w:hAnsi="Calibri"/>
          <w:b w:val="0"/>
          <w:color w:val="3A4A28"/>
          <w:sz w:val="20"/>
        </w:rPr>
        <w:t>The primary risk is cyclicality meeting premium valuation — at 29.3x forward earnings, CAT prices in sustained mid-teens growth, but the construction equipment cycle has historically peaked after 2-3 years of strong demand, and a global slowdown or tariff escalation could compress both volumes and margins simultaneously [4]. The 233% debt-to-equity ratio, driven by Cat Financial's $45.1B lending portfolio, introduces leverage risk if credit conditions tighten or equipment residual values decline. Insider selling of $87M+ in the last 90 days across multiple C-suite executives suggests leadership may view the stock as fully valued near all-time highs [5]. The 0.78% dividend yield offers minimal income protection in a correction, and Glassdoor-reported cultural challenges under new leadership could affect operational execution during the most demanding growth period in CAT's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$72.1B backlog with 59% expected delivery within 12 months provides revenue visibility through 2027 and de-risks near-term estimates, supporting the raised mid-to-high-teens revenue growth guidance for FY2026 [1]</w:t>
      </w:r>
    </w:p>
    <w:p>
      <w:pPr>
        <w:spacing w:before="40" w:after="40"/>
        <w:ind w:left="283"/>
      </w:pPr>
      <w:r>
        <w:rPr>
          <w:rFonts w:ascii="Calibri" w:hAnsi="Calibri"/>
          <w:b/>
          <w:color w:val="4A6B25"/>
          <w:sz w:val="20"/>
        </w:rPr>
        <w:t xml:space="preserve">2. </w:t>
      </w:r>
      <w:r>
        <w:rPr>
          <w:rFonts w:ascii="Calibri" w:hAnsi="Calibri"/>
          <w:b w:val="0"/>
          <w:color w:val="3A4A28"/>
          <w:sz w:val="20"/>
        </w:rPr>
        <w:t>Data center power generation demand accelerating — 48% Q2 growth with orders extending into 2030 as hyperscalers deploy billions in AI infrastructure requiring CAT turbines, gensets, and backup power systems at global scale [1]</w:t>
      </w:r>
    </w:p>
    <w:p>
      <w:pPr>
        <w:spacing w:before="40" w:after="40"/>
        <w:ind w:left="283"/>
      </w:pPr>
      <w:r>
        <w:rPr>
          <w:rFonts w:ascii="Calibri" w:hAnsi="Calibri"/>
          <w:b/>
          <w:color w:val="4A6B25"/>
          <w:sz w:val="20"/>
        </w:rPr>
        <w:t xml:space="preserve">3. </w:t>
      </w:r>
      <w:r>
        <w:rPr>
          <w:rFonts w:ascii="Calibri" w:hAnsi="Calibri"/>
          <w:b w:val="0"/>
          <w:color w:val="3A4A28"/>
          <w:sz w:val="20"/>
        </w:rPr>
        <w:t>Autonomous equipment commercialization expanding from mining to construction applications, with Cat MineStar Command driving productivity gains that justify premium pricing and create recurring software and services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equipment cycle risk — CAT's 24% Q2 revenue growth reflects peak-cycle conditions, and historical patterns suggest demand normalization within 12-18 months, particularly if interest rates remain elevated or global trade tensions escalate tariff costs on equipment [1]</w:t>
      </w:r>
    </w:p>
    <w:p>
      <w:pPr>
        <w:spacing w:before="40" w:after="40"/>
        <w:ind w:left="283"/>
      </w:pPr>
      <w:r>
        <w:rPr>
          <w:rFonts w:ascii="Calibri" w:hAnsi="Calibri"/>
          <w:b/>
          <w:color w:val="4A6B25"/>
          <w:sz w:val="20"/>
        </w:rPr>
        <w:t xml:space="preserve">2. </w:t>
      </w:r>
      <w:r>
        <w:rPr>
          <w:rFonts w:ascii="Calibri" w:hAnsi="Calibri"/>
          <w:b w:val="0"/>
          <w:color w:val="3A4A28"/>
          <w:sz w:val="20"/>
        </w:rPr>
        <w:t>Cat Financial's $45.1B in debt creates leverage risk if credit conditions tighten or construction loan defaults increase, with D/E of 233% significantly above the 70% infrastructure scoring target [4]</w:t>
      </w:r>
    </w:p>
    <w:p>
      <w:pPr>
        <w:spacing w:before="40" w:after="40"/>
        <w:ind w:left="283"/>
      </w:pPr>
      <w:r>
        <w:rPr>
          <w:rFonts w:ascii="Calibri" w:hAnsi="Calibri"/>
          <w:b/>
          <w:color w:val="4A6B25"/>
          <w:sz w:val="20"/>
        </w:rPr>
        <w:t xml:space="preserve">3. </w:t>
      </w:r>
      <w:r>
        <w:rPr>
          <w:rFonts w:ascii="Calibri" w:hAnsi="Calibri"/>
          <w:b w:val="0"/>
          <w:color w:val="3A4A28"/>
          <w:sz w:val="20"/>
        </w:rPr>
        <w:t>Concentrated insider selling of $87M+ across multiple C-suite executives in Q2 2026 signals potential valuation concern at all-time highs, with CFO retirement and leadership transition adding execution risk during peak demand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Caterpillar's business is structurally immune to AI disruption — excavators, mining trucks, turbines, and bulldozers operate in the physical world where AI cannot substitute for heavy machinery [1]. More critically, AI actively increases demand for CAT's products: data center power generation revenue surged 48% in Q2 2026 as hyperscalers require gas turbines, gensets, and backup power infrastructure that only established manufacturers like Caterpillar can supply at scale [1]. The construction of new data centers, chip fabs, and energy infrastructure further drives equipment demand. Analysts have identified CAT as a primary beneficiary of the AI-driven capital expenditure super-cycle rather than a disruption target. AI Opportunity (1/1): Caterpillar generates measurable AI-related revenue through autonomous mining operations (Cat MineStar Command), AI-powered fleet management and predictive maintenance analytics across 1.6M connected assets, and data center power generation equipment that contributed significantly to the record $72.1B backlog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Caterpillar Q2 FY2026 Earnings Release — Record Revenue $20.5B (+24% YoY), Backlog $72.1B (+92%), Power Gen +48%, Construction +35%, Guidance Raised to Mid-to-High-Teens Growth, August 2026</w:t>
      </w:r>
    </w:p>
    <w:p>
      <w:pPr>
        <w:spacing w:before="20" w:after="20"/>
        <w:ind w:left="170"/>
      </w:pPr>
      <w:r>
        <w:rPr>
          <w:rFonts w:ascii="Calibri" w:hAnsi="Calibri"/>
          <w:b/>
          <w:color w:val="4A6B25"/>
          <w:sz w:val="15"/>
        </w:rPr>
        <w:t xml:space="preserve">2. </w:t>
      </w:r>
      <w:r>
        <w:rPr>
          <w:rFonts w:ascii="Calibri" w:hAnsi="Calibri"/>
          <w:b w:val="0"/>
          <w:color w:val="3A4A28"/>
          <w:sz w:val="17"/>
        </w:rPr>
        <w:t>Caterpillar Q1 FY2026 Earnings Release — Revenue $17.4B (+22% YoY), EPS $5.54 (+30%), Guidance Raised to Low-to-Mid-Teens Growth, April 2026</w:t>
      </w:r>
    </w:p>
    <w:p>
      <w:pPr>
        <w:spacing w:before="20" w:after="20"/>
        <w:ind w:left="170"/>
      </w:pPr>
      <w:r>
        <w:rPr>
          <w:rFonts w:ascii="Calibri" w:hAnsi="Calibri"/>
          <w:b/>
          <w:color w:val="4A6B25"/>
          <w:sz w:val="15"/>
        </w:rPr>
        <w:t xml:space="preserve">3. </w:t>
      </w:r>
      <w:r>
        <w:rPr>
          <w:rFonts w:ascii="Calibri" w:hAnsi="Calibri"/>
          <w:b w:val="0"/>
          <w:color w:val="3A4A28"/>
          <w:sz w:val="17"/>
        </w:rPr>
        <w:t>Caterpillar CEO/Leadership and Innovation Strategy — Joe Creed Chairman/CEO (29-year veteran), Autonomy/Electrification/Alternative Fuels Megatrends, Cat Digital 1.6M Connected Assets, CXOTalk/Built In/Glassdoor,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CAT Key Statistics: Forward P/E 29.32x, ROE 56.97%, D/E 233%, Profit Margin 14.51%, Stock Price ~$850,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Caterpillar Insider Trading Activity — Net $87M+ Insider Selling in 90 Days, CFO Bonfield $14.4M, GP De Lange $31.9M, Multiple Executives, TipRanks, May-August 2026</w:t>
      </w:r>
    </w:p>
    <w:p>
      <w:pPr>
        <w:spacing w:before="20" w:after="20"/>
        <w:ind w:left="170"/>
      </w:pPr>
      <w:r>
        <w:rPr>
          <w:rFonts w:ascii="Calibri" w:hAnsi="Calibri"/>
          <w:b/>
          <w:color w:val="4A6B25"/>
          <w:sz w:val="15"/>
        </w:rPr>
        <w:t xml:space="preserve">6. </w:t>
      </w:r>
      <w:r>
        <w:rPr>
          <w:rFonts w:ascii="Calibri" w:hAnsi="Calibri"/>
          <w:b w:val="0"/>
          <w:color w:val="3A4A28"/>
          <w:sz w:val="17"/>
        </w:rPr>
        <w:t>Caterpillar Dividend History — 33 Consecutive Years of Growth, 93 Years Continuous Payment, 7.95% 5-Year CAGR, Yield 0.78%, Payout Ratio 27%, StockAnalysis/Simply Wall St,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Caterpillar ESG Profile — Caterpillar Foundation $830M+ Donations, MSCI ESG Index History, Climate Lobbying Disclosure Concerns, Sustainability Report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