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COP</w:t>
      </w:r>
      <w:r>
        <w:rPr>
          <w:rFonts w:ascii="Calibri" w:hAnsi="Calibri"/>
          <w:b/>
          <w:color w:val="1A2010"/>
          <w:sz w:val="40"/>
        </w:rPr>
        <w:t xml:space="preserve">  ConocoPhillips</w:t>
      </w:r>
    </w:p>
    <w:p>
      <w:pPr>
        <w:spacing w:after="120"/>
      </w:pPr>
      <w:r>
        <w:rPr>
          <w:rFonts w:ascii="Calibri" w:hAnsi="Calibri"/>
          <w:b/>
          <w:color w:val="6E8450"/>
          <w:sz w:val="18"/>
        </w:rPr>
        <w:t>DIVIDEND SLEEVE · 2026-08-17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E&amp;P · NYSE · United States</w:t>
      </w:r>
    </w:p>
    <w:p>
      <w:pPr>
        <w:spacing w:after="80"/>
      </w:pPr>
      <w:r>
        <w:rPr>
          <w:rFonts w:ascii="Calibri" w:hAnsi="Calibri"/>
          <w:b w:val="0"/>
          <w:color w:val="3A4A28"/>
          <w:sz w:val="20"/>
        </w:rPr>
        <w:t>ConocoPhillips is one of the world's largest independent exploration and production companies, operating across five segments: Alaska, Lower 48, Canada, Europe/Middle East/North Africa, and Asia Pacific. Following the $22.5B Marathon Oil acquisition (late 2024), the company produces 2.248M BOE/d with Permian production exceeding 900K BOE/d. Q2 2026 net income was $3.9B on revenue of $19.5B. CEO succession announced: Andy O'Brien succeeds Ryan Lance effective September 1, 2026. Halfway through a plan to add $7B in free cash flow by 2029. Founded in 1917, headquartered in Houston, Texas. Market cap of $152B.</w:t>
      </w:r>
    </w:p>
    <w:p>
      <w:r>
        <w:rPr>
          <w:rFonts w:ascii="Calibri" w:hAnsi="Calibri"/>
          <w:b/>
          <w:color w:val="6E8450"/>
          <w:sz w:val="18"/>
        </w:rPr>
        <w:t>9,700 Employees · https://www.conocophillips.com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The $22.5B Marathon Oil acquisition (2024) was transformative, materially expanding Lower 48 acreage and driving Permian production to a company record exceeding 900K BOE/d [1]. Q2 2026 production of 2.248M BOE/d exceeded the high end of guidance. ConocoPhillips is executing a multi-year plan to add $7B in free cash flow by 2029 through portfolio optimization. AI Deployment (2/2): ConocoPhillips has deployed AI with measurable operational results under CDIO Pragati Mathur — the AI-powered artificial gas lift optimization system assesses every well daily across nearly 500,000 barrels of daily production, replacing manual engineer adjustments of ~12 wells per day [2]. Predictive maintenance AI anticipates drill motor failures, and demand forecasting AI predicts natural gas supply trends including UK-EU interconnector flows. Cost savings described as 'significant' [2]. Market Share (1/2): ConocoPhillips is the largest independent E&amp;P company globally by production volume at 2.248M BOE/d, but operates in a fragmented commodity market without dominant pricing power [1]. Product Pipeline (1/2): Qatar LNG expansion contributing to Q3 production guidance of 2.29-2.32M BOE/d, continued Permian growth, and Alaska/Willow project ramp provide multi-year production visibility [1]. R&amp;D Intensity (1/1): Dedicated digital transformation team with AI/ML capabilities across exploration, production optimization, and predictive analytics is above E&amp;P industry norms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ConocoPhillips' purpose of 'safely and responsibly providing energy to power civilization' is generic and interchangeable with any E&amp;P peer — it describes what the company does rather than a distinctive vision of a better future [3]. The mission does not differentiate ConocoPhillips from Chevron, ExxonMobil, or any other major producer. Community Impact (1/2): ConocoPhillips operates community engagement programs across its operational areas and contributes to local economies through employment and taxation in Alaska, the Permian Basin, and international operations. However, no distinctive foundation-level charitable giving or specific dollar amounts were identified [3]. Employee Retention (1/2): The lean 9,700-employee organization manages $152B in market cap and 2.248M BOE/d production, suggesting strong per-employee productivity. Ryan Lance's 12-year CEO tenure (2012-2026) and the planned internal succession to CFO Andy O'Brien indicate leadership continuity and organizational stability [2]. Insider Buying (0/2): No evidence of meaningful net insider buying by executives in the last 12 months. The CEO succession announcement (Lance retiring, O'Brien ascending) is an orderly transition rather than a conviction signal.</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dividend metrics. D/E of 36% is conservative, well below the 70% target [4]. Forward P/E of 13.03 is deeply discounted, scoring 1.0. ROE of 14.18% is just below the 15% target (scoring 0.95). Revenue growth YoY of ~32.4% to $19.5B quarterly driven by Marathon Oil contribution and higher realized prices ($62.33/BOE, +36% YoY), scoring 1.0 [1]. 5-year revenue CAGR estimated at ~7%, scoring 0.80. Profit margin of 14.4% is below the 20% target (scoring 0.72), typical for commodity producers. Dividend metrics: 44 consecutive years of payments (scoring 1.0 at 2x weight); payout ratio of 44.6% (scoring 0.92); 2 consecutive years of growth (scoring 0.20); 5-year dividend growth CAGR of ~14% from $1.72 (2021) to $3.36 (2026) (scoring 1.0 at 2x weight) [1]. Daily dollar volume of ~$776M provides excellent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ConocoPhillips under Ryan Lance built a disciplined, returns-focused E&amp;P company through portfolio optimization and the transformative Marathon Oil acquisition. However, Sinek would note that the company's purpose is fundamentally finite — producing hydrocarbons for shareholder returns. The language centers on 'capital discipline,' 'returns on and of capital,' and 'free cash flow targets' rather than a vision of a better future. The September 2026 CEO transition from Lance to Andy O'Brien is orderly but untested, and the company's competitive framing focuses on being the 'best-in-class E&amp;P' rather than learning from rivals.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'Safely and responsibly providing energy to power civilization' is directionally important but reads as a generic industry statement — it is interchangeable with any major E&amp;P company and does not articulate why ConocoPhillips specifically exists or envision a future state worth sacrificing for [3]. The company's strategic communications center on financial returns, free cash flow targets, and capital allocation rather than purpose. The $7B free cash flow addition target by 2029 is a financial objective, not a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Ryan Lance's 12-year CEO tenure (2012-2026) and the orderly succession to CFO Andy O'Brien demonstrate leadership continuity and organizational stability [2]. Konnie Haynes-Welsh's concurrent appointment as CFO indicates a deep internal bench. The lean 9,700-employee organization manages massive global operations efficiently. However, no specific employee satisfaction, turnover, or retention data was found to evaluate trust beyond leadership level. The Marathon Oil integration required absorbing a new workforce without disclosed cultural friction.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ConocoPhillips' competitive language focuses on being 'best-in-class' in E&amp;P returns and capital discipline — a finite framing about winning the returns competition rather than learning from competitors [1]. Management frames success in terms of production records, cost leadership, and shareholder return metrics. No evidence of acknowledging competitors' strengths as learning opportunities or competitive humility.</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$22.5B Marathon Oil acquisition fundamentally reshaped ConocoPhillips' Lower 48 footprint and production capacity, representing a significant strategic transformation [1]. The company's pivot from integrated oil company (2012 Phillips 66 spin-off) to pure-play E&amp;P was itself an existential strategic decision. Qatar LNG expansion demonstrates willingness to enter new geographies. However, ConocoPhillips remains committed to the same core business model (hydrocarbon E&amp;P) without fundamental reinvention of its purpose or approach.</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Ryan Lance maintained capital discipline during the 2020 oil price collapse, keeping the company positioned for recovery rather than panic-selling assets [1]. The $22.5B Marathon Oil acquisition was a bold bet on U.S. shale consolidation. Maintaining $12.0-$12.5B capex guidance while targeting $7B in free cash flow additions by 2029 shows long-term planning [1]. However, the returns-focused strategy prioritizes shareholder distributions over transformative reinvestment, and the energy transition is largely absent from capital allocation priorities.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ConocoPhillips at 13.03x forward earnings is a premier E&amp;P compounder delivering accelerating production growth — Q2 2026 production of 2.248M BOE/d exceeded guidance with Permian production hitting a record 900K+ BOE/d, driving adjusted EPS of $3.24 (beating consensus of $2.85) on revenue of $19.5B (+32.4% YoY) [1]. Average realized prices of $62.33/BOE (+36% YoY) combined with Marathon Oil synergies and AI-driven operational efficiencies (gas lift optimization across 500K bbl/d) support the multi-year plan to add $7B in free cash flow by 2029 [2]. D/E of 36% is conservative, payout ratio of 44.6% is sustainable, and the 2.65% dividend yield with $3.36 annual payout is supported by robust cash generation. Q3 production guidance of 2.29-2.32M BOE/d, Qatar LNG ramp, and Permian scaling provide near-term growth catalysts [1]. The orderly CEO succession from Lance to O'Brien signals institutional maturity.</w:t>
      </w:r>
    </w:p>
    <w:p>
      <w:pPr>
        <w:spacing w:after="120"/>
      </w:pPr>
      <w:r>
        <w:rPr>
          <w:rFonts w:ascii="Calibri" w:hAnsi="Calibri"/>
          <w:b w:val="0"/>
          <w:color w:val="3A4A28"/>
          <w:sz w:val="20"/>
        </w:rPr>
        <w:t>The bear case centers on commodity price sensitivity and cyclicality. ConocoPhillips' revenue, earnings, and stock price are directly tied to oil and gas prices — Q2's strong results were driven by a 36% YoY increase in realized prices, and any oil price decline below $60/bbl would compress margins and threaten the dividend growth trajectory [1]. ROE of 14.18% is just below the 15% target, and profit margin of 14.4% lags integrated majors. The 5-year revenue CAGR of ~7% reflects volatile commodity cycles rather than steady growth. Consecutive years of dividend growth is only 2, meaning the dividend record was recently interrupted, reducing Dividend King credibility. The CEO transition from Ryan Lance to Andy O'Brien (September 2026) introduces succession risk during a period of evolving energy policy [2]. Climate litigation risk persists, and ESG-focused investors increasingly exclude fossil fuel E&amp;P companies. The Inspire MISALIGNED rating (-49) further limits the faith-based institutional investor base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Permian production exceeding 900K BOE/d with continued scaling, Q3 guidance of 2.29-2.32M BOE/d total production, and Qatar LNG ramp providing multi-year growth visibility toward the $7B free cash flow addition target by 2029 [1]</w:t>
      </w:r>
    </w:p>
    <w:p>
      <w:pPr>
        <w:spacing w:before="40" w:after="40"/>
        <w:ind w:left="283"/>
      </w:pPr>
      <w:r>
        <w:rPr>
          <w:rFonts w:ascii="Calibri" w:hAnsi="Calibri"/>
          <w:b/>
          <w:color w:val="4A6B25"/>
          <w:sz w:val="20"/>
        </w:rPr>
        <w:t xml:space="preserve">2. </w:t>
      </w:r>
      <w:r>
        <w:rPr>
          <w:rFonts w:ascii="Calibri" w:hAnsi="Calibri"/>
          <w:b w:val="0"/>
          <w:color w:val="3A4A28"/>
          <w:sz w:val="20"/>
        </w:rPr>
        <w:t>AI-driven operational efficiency gains across 500K bbl/d of gas lift optimization and predictive maintenance, generating significant cost savings that compound in a commodity business where timing directly affects profitability [2]</w:t>
      </w:r>
    </w:p>
    <w:p>
      <w:pPr>
        <w:spacing w:before="40" w:after="40"/>
        <w:ind w:left="283"/>
      </w:pPr>
      <w:r>
        <w:rPr>
          <w:rFonts w:ascii="Calibri" w:hAnsi="Calibri"/>
          <w:b/>
          <w:color w:val="4A6B25"/>
          <w:sz w:val="20"/>
        </w:rPr>
        <w:t xml:space="preserve">3. </w:t>
      </w:r>
      <w:r>
        <w:rPr>
          <w:rFonts w:ascii="Calibri" w:hAnsi="Calibri"/>
          <w:b w:val="0"/>
          <w:color w:val="3A4A28"/>
          <w:sz w:val="20"/>
        </w:rPr>
        <w:t>Marathon Oil integration synergies fully realized, with the combined Lower 48 footprint enabling capital allocation optimization across a deeper inventory of drilling locations in the Permian, Eagle Ford, and Bakken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Oil price decline below $60/bbl would compress margins, threaten dividend growth, and potentially force capex reductions — Q2's strong results were driven by 36% higher realized prices ($62.33/BOE) that may not persist [1]</w:t>
      </w:r>
    </w:p>
    <w:p>
      <w:pPr>
        <w:spacing w:before="40" w:after="40"/>
        <w:ind w:left="283"/>
      </w:pPr>
      <w:r>
        <w:rPr>
          <w:rFonts w:ascii="Calibri" w:hAnsi="Calibri"/>
          <w:b/>
          <w:color w:val="4A6B25"/>
          <w:sz w:val="20"/>
        </w:rPr>
        <w:t xml:space="preserve">2. </w:t>
      </w:r>
      <w:r>
        <w:rPr>
          <w:rFonts w:ascii="Calibri" w:hAnsi="Calibri"/>
          <w:b w:val="0"/>
          <w:color w:val="3A4A28"/>
          <w:sz w:val="20"/>
        </w:rPr>
        <w:t>CEO succession from Ryan Lance to Andy O'Brien (September 1, 2026) introduces leadership transition risk during a period of evolving U.S. energy policy and accelerating global energy transition pressures [2]</w:t>
      </w:r>
    </w:p>
    <w:p>
      <w:pPr>
        <w:spacing w:before="40" w:after="40"/>
        <w:ind w:left="283"/>
      </w:pPr>
      <w:r>
        <w:rPr>
          <w:rFonts w:ascii="Calibri" w:hAnsi="Calibri"/>
          <w:b/>
          <w:color w:val="4A6B25"/>
          <w:sz w:val="20"/>
        </w:rPr>
        <w:t xml:space="preserve">3. </w:t>
      </w:r>
      <w:r>
        <w:rPr>
          <w:rFonts w:ascii="Calibri" w:hAnsi="Calibri"/>
          <w:b w:val="0"/>
          <w:color w:val="3A4A28"/>
          <w:sz w:val="20"/>
        </w:rPr>
        <w:t>Climate litigation and regulatory risk — ConocoPhillips faces lawsuits related to climate change, and ESG-focused investors increasingly exclude fossil fuel E&amp;P companies, potentially limiting the shareholder base and increasing cost of capital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Oil and gas exploration and production is structurally immune to AI disruption — the business requires physical drilling, reservoir management, pipeline infrastructure, refining relationships, and regulatory compliance that AI cannot substitute [1]. Global oil demand remains above 100M bbl/d, driven by transportation, petrochemicals, and industrial applications that have no near-term AI replacement. AI-driven economic growth and data center buildouts increase electricity demand, indirectly supporting hydrocarbon consumption. ConocoPhillips' 2.248M BOE/d production across Alaska, Lower 48, Canada, and international basins involves physical-world operations in remote and technically challenging environments [1]. AI Opportunity (1/1): ConocoPhillips generates quantifiable AI-driven value through its artificial gas lift optimization system covering nearly 500,000 barrels of daily production, replacing manual engineer adjustments (~12 wells/day) with daily AI assessment of every well [2]. Predictive maintenance AI for drill motors and demand forecasting AI for natural gas markets deliver 'significant' cost savings per management. CDIO Pragati Mathur leads a dedicated AI transformation program integrated into core operations.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ConocoPhillips Q2 2026 Earnings Release — Adjusted EPS $3.24 (beat $2.85), Revenue $19.5B, Production 2.248M BOE/d, Permian Record 900K+ BOE/d, Q3 Guidance 2.29-2.32M BOE/d, August 2026</w:t>
      </w:r>
    </w:p>
    <w:p>
      <w:pPr>
        <w:spacing w:before="20" w:after="20"/>
        <w:ind w:left="170"/>
      </w:pPr>
      <w:r>
        <w:rPr>
          <w:rFonts w:ascii="Calibri" w:hAnsi="Calibri"/>
          <w:b/>
          <w:color w:val="4A6B25"/>
          <w:sz w:val="15"/>
        </w:rPr>
        <w:t xml:space="preserve">2. </w:t>
      </w:r>
      <w:r>
        <w:rPr>
          <w:rFonts w:ascii="Calibri" w:hAnsi="Calibri"/>
          <w:b w:val="0"/>
          <w:color w:val="3A4A28"/>
          <w:sz w:val="17"/>
        </w:rPr>
        <w:t>ConocoPhillips Leadership Succession and AI Strategy — Andy O'Brien Named CEO (Sept 1, 2026), AI Gas Lift Optimization, Predictive Maintenance, CIO Magazine, August 2026</w:t>
      </w:r>
    </w:p>
    <w:p>
      <w:pPr>
        <w:spacing w:before="20" w:after="20"/>
        <w:ind w:left="170"/>
      </w:pPr>
      <w:r>
        <w:rPr>
          <w:rFonts w:ascii="Calibri" w:hAnsi="Calibri"/>
          <w:b/>
          <w:color w:val="4A6B25"/>
          <w:sz w:val="15"/>
        </w:rPr>
        <w:t xml:space="preserve">3. </w:t>
      </w:r>
      <w:r>
        <w:rPr>
          <w:rFonts w:ascii="Calibri" w:hAnsi="Calibri"/>
          <w:b w:val="0"/>
          <w:color w:val="3A4A28"/>
          <w:sz w:val="17"/>
        </w:rPr>
        <w:t>ConocoPhillips ESG and Climate Litigation — Climate Lawsuits, ESG Bond Paradox, Inspire Impact Score -49, 2025-2026</w:t>
      </w:r>
    </w:p>
    <w:p>
      <w:pPr>
        <w:spacing w:before="20" w:after="20"/>
        <w:ind w:left="170"/>
      </w:pPr>
      <w:r>
        <w:rPr>
          <w:rFonts w:ascii="Calibri" w:hAnsi="Calibri"/>
          <w:b/>
          <w:color w:val="4A6B25"/>
          <w:sz w:val="15"/>
        </w:rPr>
        <w:t xml:space="preserve">4. </w:t>
      </w:r>
      <w:r>
        <w:rPr>
          <w:rFonts w:ascii="Calibri" w:hAnsi="Calibri"/>
          <w:b w:val="0"/>
          <w:color w:val="3A4A28"/>
          <w:sz w:val="17"/>
        </w:rPr>
        <w:t>StockAnalysis — COP Key Statistics: Forward P/E 13.03x, ROE 14.18%, D/E 36%, Profit Margin 14.4%, Dividend Yield 2.65%, Payout Ratio 44.64%, Stock Price $126.78,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