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CRGY</w:t>
      </w:r>
      <w:r>
        <w:rPr>
          <w:rFonts w:ascii="Calibri" w:hAnsi="Calibri"/>
          <w:b/>
          <w:color w:val="1A2010"/>
          <w:sz w:val="40"/>
        </w:rPr>
        <w:t xml:space="preserve">  Crescent Energy Company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2026-08-22 · Inspire: 38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Exploration &amp; Production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Crescent Energy is a differentiated U.S. oil and gas exploration and production company focused on the Eagle Ford, Permian, and Uinta Basins, pursuing a disciplined 'growth through acquisition' strategy. The transformative $2.1B acquisition of SilverBow Resources (closed July 2024) nearly doubled the company's scale and created a premier Eagle Ford position. Q2 2026 delivered strong results with revenue of $1.39B (+55.3% YoY), record operating cash flow of $707M, average daily production of 335 MBoe/d (42% oil), and operating margin of 41.6% [1]. CEO David Rockecharlie leads a lean team of ~1,067 employees. Market cap approximately $2.5B.</w:t>
      </w:r>
    </w:p>
    <w:p>
      <w:r>
        <w:rPr>
          <w:rFonts w:ascii="Calibri" w:hAnsi="Calibri"/>
          <w:b/>
          <w:color w:val="6E8450"/>
          <w:sz w:val="18"/>
        </w:rPr>
        <w:t>1,067 Employees · https://crescentenergyco.com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Crescent has executed a transformative acquisition strategy since going public in 2021, with the $2.1B SilverBow Resources acquisition (July 2024) as the defining deal — nearly doubling production scale and creating a premier Eagle Ford position [2]. The integration delivered approximately $120M in Permian synergies ahead of plan, and Q2 2026 results showed record $707M operating cash flow and 41.6% operating margin [1]. This represents a successful business model transformation from a small E&amp;P to a meaningful mid-cap operator through disciplined M&amp;A. AI Deployment (0/2): No evidence of AI deployment or AI strategy was found in research. Crescent operates as a traditional E&amp;P company focused on operational efficiency through conventional means rather than AI-driven innovation. Market Share (1/2): Crescent has grown to 335 MBoe/d of production (42% oil), establishing meaningful positions in the Eagle Ford and Permian basins [1]. However, the company remains a mid-cap E&amp;P — far smaller than leaders like EOG Resources, Pioneer Natural Resources, or Diamondback Energy. Not a category leader or fastest share gainer. Product Pipeline (1/2): The company has a defined 'growth through acquisition' pipeline strategy with lowered 2026 cost guidance suggesting continued operational improvement, and the returns-driven approach provides visibility into future deal flow [1]. However, no specific acquisition targets or development projects with named timelines are publicly disclosed. R&amp;D Intensity (0/1): Not applicable for E&amp;P operations. The company focuses on operational efficiency and M&amp;A execution rather than traditional R&amp;D.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Crescent describes itself as 'a differentiated energy company committed to delivering value through a disciplined, returns-driven growth through acquisition strategy' [2]. This is explicitly a financial engineering statement, not a mission — it articulates how the company creates shareholder value, not why it exists or what future state it is working toward. It is interchangeable with any acquisitive E&amp;P company. Community Impact (1/2): Crescent has demonstrated meaningful environmental commitment for an E&amp;P company — joining the Oil and Gas Methane Partnership (OGMP) 2.0 for rigorous emissions reporting, working to eliminate routine flaring, increasing electrification, and expanding carbon capture programs [3]. The ESG Advisory Council advises the board on sustainability matters. These represent genuine institutional commitment within the oil and gas context. Employee Retention (1/2): Crescent has achieved notable workforce diversity for the oil and gas industry — nearly 30% of senior leadership and 50% of the board of directors are women [2]. With only 1,067 employees, the lean organization suggests efficiency, though no specific retention or turnover data is available. Insider Buying (0/2): No evidence of meaningful net insider buying was identified in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Crescent's Forward P/E of 5.02 scores a perfect 1.0, reflecting value pricing typical of the E&amp;P sector [4]. Revenue growth YoY of 55.3% (primarily SilverBow acquisition-driven) and 5yr CAGR of approximately 25% (M&amp;A-driven) both score 1.0, with the 5yr CAGR receiving 2x weight. D/E of 100.4% scores 0.87, reflecting the leverage from the SilverBow acquisition but manageable for an E&amp;P company with $5.24B total debt [4]. However, ROE of 1.14% (TTM) scores just 0.08 with 2x weight — GAAP profitability has been distorted by commodity derivative mark-to-market losses and non-cash charges despite record $707M Q2 operating cash flow [1]. Profit margin of 1.7% (TTM) scores only 0.09, again reflecting GAAP accounting effects rather than cash flow reality. The stock clears the liquidity floor with approximately $69M in daily trading value. PEG ratio excluded due to insufficient data.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Crescent Energy is a quintessential finite-game player in Sinek's framework — the company's stated strategy is explicitly about financial returns through disciplined acquisitions rather than advancing a Just Cause beyond profit. CEO Rockecharlie leads a returns-focused organization where success is measured in deal multiples, synergy capture, and cash flow generation [1][2]. The SilverBow acquisition demonstrates execution capability, and the lean 1,067-person organization with strong diversity metrics suggests operational competence. However, the company lacks the enduring purpose, cultural depth, and long-term vision that characterizes infinite-game players. This is a well-managed deal machine, not a purpose-driven organization.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Crescent's stated purpose is about 'delivering value through a disciplined, returns-driven growth through acquisition strategy' — this is a financial engineering thesis, not a Just Cause [2]. There is no articulated vision of a better future, no purpose beyond making money for shareholders. The company exists to acquire E&amp;P assets at attractive valuations, extract synergies, and generate returns. This is finite thinking by definition in Sinek's framework — playing to win financially rather than playing to endure. Even the ESG commitments appear motivated by regulatory compliance and investor expectations rather than a deeper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Crescent has achieved notable workforce diversity for the oil and gas industry — nearly 30% of senior leadership and 50% of the board are women, suggesting a culture that values diverse perspectives [2]. The lean organization of 1,067 employees implies a tight-knit team where individual contributions matter. The company appears stable without major cultural red flags or high-profile departures. However, no specific data on employee empowerment, psychological safety, tenure, or voluntary turnover is available to confirm above-average organizational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an infinite competitive mindset. Crescent's competitive posture is focused on acquiring assets at attractive valuations and outbidding competitors in M&amp;A — a fundamentally finite-game approach to competition. The company's strategy is about 'winning' deals and capturing value, not about learning from competitors' operational strengths or improving through competitive pressure.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Since going public in December 2021, Crescent has evolved from a small, single-basin E&amp;P to a multi-basin operator through aggressive M&amp;A — expanding from the Eagle Ford into the Permian and Uinta basins. The SilverBow acquisition ($2.1B) fundamentally scaled the company [2]. However, this is growth and geographic expansion within the same business model (E&amp;P), not a transformative pivot to a fundamentally different business. The company has not reinvented itself — it has gotten bigger doing the same thing.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$2.1B SilverBow acquisition required taking on significant leverage ($5.24B total debt) during a period of commodity price uncertainty — a bold bet on the E&amp;P consolidation thesis [2][4]. The company lowered its 2026 cost guidance, demonstrating willingness to invest in operational efficiency rather than simply harvesting current production. However, the courage here is financial risk-taking on acquisitions, not the type of purpose-driven sacrifice that Sinek describes — these are calculated financial bets, not principled stands that cost near-term performance.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Crescent Energy at $11 and 5.02x forward earnings is a disciplined E&amp;P acquisition compounder delivering record cash flows in a sector structurally immune to AI disruption. Q2 2026 demonstrated the SilverBow integration thesis — $707M record operating cash flow, 41.6% operating margin, 335 MBoe/d production (42% oil), and $120M in Permian synergies captured ahead of plan [1]. The returns-driven acquisition model under CEO Rockecharlie has transformed Crescent from a small single-basin operator to a premier Eagle Ford/Permian producer in just five years. Forward P/E of 5.02 and an approximately 4.4% dividend yield provide substantial value and income support. The lowered 2026 cost guidance signals continued operational improvement, and the lean 1,067-person organization generates industry-leading cash flow per employee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commodity price risk, leverage, and the inherent cyclicality of E&amp;P businesses. D/E of 100.4% with $5.24B in total debt against only $9.78M in cash creates meaningful financial risk if oil prices decline — the company's profitability is directly tied to WTI and Henry Hub pricing with limited hedging protection [4]. GAAP profitability remains distorted by commodity derivative mark-to-market effects, with TTM profit margin at just 1.7% and ROE at 1.14% despite record operating cash flow — the gap between GAAP and cash flow metrics requires investors to look through reported earnings [4]. The 55.3% Q2 revenue growth is almost entirely acquisition-driven rather than organic, and organic production growth rates are much lower. The acquisition strategy carries integration and capital allocation risk — each deal increases leverage and complexity. The Inspire Impact Score of 38 (ALIGNED) supports faith-based allocation, but oil and gas exposure carries inherent ESG scrutiny regardless of individual company practices. The stock's near-term performance is ultimately a bet on commodity prices that no operational excellence can fully hedge.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SilverBow synergy capture — $120M in Permian synergies already realized ahead of plan, with the original $65-$100M annual target likely to be exceeded, supporting margin expansion and free cash flow generation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AI-driven electricity demand growth creating a structural tailwind for natural gas — data center power requirements are projected to grow significantly over the next decade, directly increasing demand for Crescent's natural gas production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Lowered 2026 cost guidance and record $707M Q2 operating cash flow suggest the acquisition integration model is delivering operational improvements, with potential for further efficiency gains across the Eagle Ford and Permian asset base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Commodity price exposure — Crescent's revenue and profitability are directly tied to oil and natural gas prices, with limited hedging protection; a sustained decline in WTI below $60/bbl would pressure cash flows and debt serviceability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Leverage risk with $5.24B in debt and only $9.78M in cash — the acquisition-driven growth strategy has loaded the balance sheet, and any integration misstep or commodity price downturn could stress the capital structure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GAAP profitability disconnect — TTM net margin of 1.7% and ROE of 1.14% despite record operating cash flow reflects commodity derivative accounting effects and non-cash charges, creating confusion about true earnings power and limiting institutional investor interest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Crescent Energy's core business — physical extraction, processing, and sale of crude oil, natural gas, and natural gas liquids — is structurally immune to AI disruption. AI cannot replace drilling wells, operating wellheads, maintaining pipelines, or extracting hydrocarbons from geological formations [1]. The company operates physical infrastructure across the Eagle Ford, Permian, and Uinta basins that requires boots-on-the-ground expertise, heavy equipment, and regulatory compliance that AI structurally cannot displace. Moreover, AI is a net demand tailwind — AI data centers require massive and growing amounts of electricity, a significant portion of which is generated from natural gas, directly increasing demand for Crescent's primary product. No analysts have flagged AI as a threat to E&amp;P companies; the sector is universally viewed as a beneficiary of AI-driven electricity demand growth. AI Opportunity (0/1): Crescent does not generate revenue from AI-related products or services. The company may benefit from AI-enhanced operational tools (predictive maintenance, drilling optimization) but does not sell or report AI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Crescent Energy Q2 2026 Earnings Release — Revenue $1,394.95M (+55.3% YoY), Record OCF $707M, Operating Margin 41.6%, Production 335 MBoe/d, EPS $0.69 (Beat by 19%), Lowered Cost Guidance, August 3,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Crescent Energy Company Profile and SilverBow Acquisition — $2.1B Acquisition Closed July 2024, $120M Permian Synergies, 30% Female Senior Leadership, 50% Female Board, Growth Through Acquisition Strategy — BusinessWire, CrescentEnergyCo.com,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Crescent Energy ESG Initiatives — OGMP 2.0 Membership, Methane Reduction Targets, Routine Flaring Elimination, Electrification, Carbon Capture, ESG Advisory Council — Natural Gas Intelligence, Crescent ESG Reports, 2021-2026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StockAnalysis, Yahoo Finance, GuruFocus — CRGY Key Statistics: Stock Price ~$11, Forward P/E 5.02, D/E 100.4%, ROE 1.14%, Profit Margin 1.7%, Dividend $0.48 (4.4% Yield), Avg Volume 6.3M,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