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CRWV</w:t>
      </w:r>
      <w:r>
        <w:rPr>
          <w:rFonts w:ascii="Calibri" w:hAnsi="Calibri"/>
          <w:b/>
          <w:color w:val="1A2010"/>
          <w:sz w:val="40"/>
        </w:rPr>
        <w:t xml:space="preserve">  CoreWeave,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36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CoreWeave operates a purpose-built GPU cloud for AI workloads serving nine of the 10 leading foundation model providers. Q2 2026 revenue was $2.58B (+112% YoY) with $104B revenue backlog.</w:t>
      </w:r>
    </w:p>
    <w:p>
      <w:r>
        <w:rPr>
          <w:rFonts w:ascii="Calibri" w:hAnsi="Calibri"/>
          <w:b/>
          <w:color w:val="6E8450"/>
          <w:sz w:val="18"/>
        </w:rPr>
        <w:t>https://www.coreweave.com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CoreWeave pivoted from crypto mining into the leading AI-specialized cloud, now serving nine of the top 10 foundation model providers [1][2]. AI Deployment (2/2): AI cloud is the product, generating $2.58B Q2 revenue. Market Share (2/2): The leading neocloud by scale, with $104B backlog up 246% YoY [1]. Pipeline (1/2): Q3 guide of $3.4-3.6B and $25B+ new commitments, but specific product timelines are generic. R&amp;D Intensity (0/1): Capital-heavy with limited R&amp;D relative to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'The Essential Cloud for AI' is clear but commercially framed. Community (0/2): No community program evidence found. Employee Retention (0/2): Glassdoor culture 2.9/5 with reports of 60-80 hour weeks and fear-based management [2]. Insider Buying (0/2): No net insider buying evidence; post-IPO selling is the pattern.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Growth sleeve, mechanical. D/E 1027% (0.0), ROE -43.6% (0.0, 2x), revenue growth 112% (1.0), 5yr CAGR far above 10% (1.0, 2x), forward P/E negative and scored 0, profit margin -25.4% (0.0); PEG unavailable and excluded. Weighted 3.0 of 8 gives 4. Daily dollar volume of about $2.5B clears the liquidity floor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CoreWeave reinvented itself from crypto mining to AI infrastructure with bold debt-funded capacity bets, but its cause is commercial, culture is described as fear-based, and the strategy is growth-at-speed.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AI-cloud mission is a business position rather than a future-state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describes unrealistic deadlines, long hours and little leadership loyalty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The CEO frames survival as speed and focus in a hyper-competitive market, with little learning-from-rivals language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Abandoned Ethereum mining for AI cloud, a transformative pivot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Committed to massive GPU and data-center capex with 1027% D/E ahead of proven profits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CoreWeave is the scale leader in AI cloud: Q2 2026 revenue of $2.58B grew 112% with 59% adjusted EBITDA margin, backlog reached $104B, and 2026 guidance is $12.4-13.2B revenue [1]. Nine of the top 10 foundation model providers are customers, and Q3 guidance implies ~158% growth.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leverage and quality of earnings: D/E is 1027%, ROE is -43.6%, profit margin is -25.4%, and the backlog equals roughly 40 quarters of revenue, so delivery and financing are critical [1]. Customer concentration and circular-deal criticism, power and water ESG exposure, and a 2.9/5 culture rating add risk [2][3].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Converting $104B backlog and $25B+ new Q3 commitments into revenue; Q3 guide of $3.4-3.6B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Adjusted operating income of $960M-$1.15B guided for 2026 as scale improves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demand from nine of the top 10 foundation model providers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1027% D/E and heavy GPU capex financing; negative profit margin of -25.4%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Customer concentration and circular AI-deal scrutiny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Energy, water and critical-mineral ESG exposure plus new climate disclosure rules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CoreWeave is AI infrastructure, so AI adoption drives demand rather than substituting for it; backlog is $104B [1]. Concentration in a few AI labs and circular-financing criticism are counterparty risks, not disruption [2]. AI Opportunity (1/1): The entire $2.58B quarterly revenue is AI cloud.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CoreWeave Q1 and Q2 2026 earnings, CNBC and Investing.com,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CoreWeave leadership and culture: Columbia Business School interview, TechCrunch (Dec 2025), Glassdoor,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CoreWeave Form 10-Q (June 30, 2026) risk factors, SEC EDGAR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