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CTEV</w:t>
      </w:r>
      <w:r>
        <w:rPr>
          <w:rFonts w:ascii="Calibri" w:hAnsi="Calibri"/>
          <w:b/>
          <w:color w:val="1A2010"/>
          <w:sz w:val="40"/>
        </w:rPr>
        <w:t xml:space="preserve">  Claritev Corporation</w:t>
      </w:r>
    </w:p>
    <w:p>
      <w:pPr>
        <w:spacing w:after="120"/>
      </w:pPr>
      <w:r>
        <w:rPr>
          <w:rFonts w:ascii="Calibri" w:hAnsi="Calibri"/>
          <w:b/>
          <w:color w:val="6E8450"/>
          <w:sz w:val="18"/>
        </w:rPr>
        <w:t>GROWTH SLEEVE · 2026-09-21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Claritev Corporation (formerly MultiPlan Corporation) provides data analytics and technology-enabled cost management, payment, and revenue integrity solutions to the U.S. healthcare industry. The company offers claims intelligence, network solutions, payment and revenue integrity services, and analytics products including reference-based pricing, Vistara, CompleteVue, PlanOptix, and BenInsights. Rebranded from MultiPlan in February 2025 as part of a strategic transformation. Serves national and regional insurers, Blue Cross Blue Shield plans, TPAs, and government payers. Q2 2026 revenue reached $257.5M (+6.6% YoY) with full-year 2026 guidance raised to $985M-$1B [1].</w:t>
      </w:r>
    </w:p>
    <w:p>
      <w:r>
        <w:rPr>
          <w:rFonts w:ascii="Calibri" w:hAnsi="Calibri"/>
          <w:b/>
          <w:color w:val="6E8450"/>
          <w:sz w:val="18"/>
        </w:rPr>
        <w:t>3,000 Employees · https://www.claritev.com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Claritev rebranded from MultiPlan in February 2025 and is executing a digital transformation including cloud migration and platform modernization, but the core business model — payment integrity and out-of-network repricing analytics — remains fundamentally unchanged since 1980 [1]. Revenue grew modestly from $931M (2024) to $965M (2025), and Q2 2026 continued at 6.6% YoY growth. AI Deployment (1/2): Fernando Schwartz, Ph.D., was appointed Chief AI Officer in February 2025 to lead the AI and Data Science Department, deploying AI for real-time claims processing applications, though no specific AI-driven revenue or cost savings have been quantified [2]. Market Share (1/2): Claritev is one of the largest independent healthcare payment analytics companies in the U.S., processing over 1 million claims daily, though market position faces pressure from payer in-sourcing and competition from Cotiviti and Change Healthcare/Optum [1]. Product Pipeline (1/2): Bookings of $70M through H1 2026 targeting $100M for the full year (50% growth over 2025) demonstrate accelerating commercial traction, though no named next-generation products with specific launch dates have been announced [1]. R&amp;D Intensity (0/1): No publicly disclosed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Claritev's stated mission of 'delivering affordability, transparency, and quality to the U.S. healthcare system' is clear and connects the company to reducing healthcare costs, a genuine societal problem [2]. However, the company's actual revenue model involves reducing provider reimbursements, creating tension with claims of improving quality. Community Impact (1/2): Partnership with the National Rural Health Association to improve access to affordable care in underserved communities demonstrates some community investment aligned with the stated mission, and the company has committed to eliminating 100% of on-premise data centers via Oracle Cloud migration [2]. Employee Retention (0/2): No employee retention or tenure data available for the 3,000-person workforce undergoing significant transformation.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Claritev's infrastructure remains severely impaired by its SPAC-legacy capital structure: $4.69B in total debt against negative stockholders' equity makes D/E incalculable (scores 0) and ROE unavailable (0 at 2x weight) [1][3]. Profit margin of -28.5% reflects ongoing net losses from interest expense exceeding $400M annually (scores 0). The bright spots are the extremely low Forward P/E of 4.2x (scoring 1.0), suggesting the market prices in a dramatic earnings inflection to $7.33 forward EPS, and improved revenue growth of 6.6% YoY (scoring 0.89) [3]. Revenue 5-year CAGR of approximately -1.7% reflects secular decline from peak 2022 revenue of $1.08B, providing minimal additional credit. Forward PEG is unavailable (scores 0 at 2x weight). The stock clears the liquidity floor at ~$3.9M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Claritev operates as a finite player undergoing genuine but constrained transformation. The rebrand from MultiPlan, AI leadership appointments, and accelerating bookings growth demonstrate strategic intent under CEO Travis Dalton. However, the overhang of $4.69B in SPAC-legacy debt and negative equity fundamentally constrains long-term strategic flexibility, and the company's revenue model (reducing provider payments) creates inherent tension with its stated healthcare affordability mission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Claritev's purpose of healthcare affordability and transparency addresses a genuine societal need, and the company's products do reduce costs for payers and patients [2]. However, the company's SPAC origin (Churchill Capital Corp IV, 2020) and federal antitrust litigation alleging systematic underpayment of healthcare providers directly challenge the affordability narrative. The rebrand from MultiPlan signals an attempt to redefine purpose, but execution remains early.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Claritev has built a new leadership team — appointing Chief AI Officer, Chief Clinical Officer, and international leadership roles as part of the transformation strategy [2]. However, significant organizational change, the brand transition, and the weight of the debt structure create inherent uncertainty for the 3,000-person workforce. No employee satisfaction, retention, or culture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Claritev competes against well-resourced rivals including Cotiviti, Change Healthcare/Optum, and Zelis in healthcare payment integrity. The company's product innovation and bookings growth of 50% suggest constructive competitive response through differentiation in analytics and AI capabilities rather than predatory tactics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February 2025 rebrand and pivot toward AI-enabled analytics represent meaningful strategic adaptation — the company is actively trying to reinvent itself from a legacy cost management platform to a technology-driven analytics company [2]. However, the transformation is constrained by the $4.69B debt burden, limiting bold acquisitions or investments that would fully demonstrate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Travis Dalton is executing a multi-year transformation with measurable commitments — $100M bookings target (50% growth), raised 2026 revenue guidance, and C-suite appointments [1][2]. However, the transformation is incremental rather than bold, and the company has not yet demonstrated willingness to make truly costly long-term investments given the leverage constraints of its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Claritev at 4.2x forward earnings offers compelling turnaround optionality if the digital transformation executes — Q2 2026 revenue of $257.5M (+6.6% YoY) and raised full-year guidance of $985M-$1B demonstrate improving commercial traction, while bookings of $70M through H1 2026 (targeting $100M, +50% YoY) signal accelerating demand for AI-enhanced analytics products [1]. EBITDA margins of 61-62% on guided revenue provide substantial cash flow generation potential, and forward EPS of $7.33 implies a dramatic earnings inflection from the current trailing loss of -$17.00 per share. The stock has rallied from ~$12 lows to $30.81, reflecting growing confidence in the transformation under CEO Travis Dalton [3].</w:t>
      </w:r>
    </w:p>
    <w:p>
      <w:pPr>
        <w:spacing w:after="120"/>
      </w:pPr>
      <w:r>
        <w:rPr>
          <w:rFonts w:ascii="Calibri" w:hAnsi="Calibri"/>
          <w:b w:val="0"/>
          <w:color w:val="3A4A28"/>
          <w:sz w:val="20"/>
        </w:rPr>
        <w:t>The bear case is dominated by balance sheet risk — $4.69B in total debt against negative equity creates a capital structure that could constrain growth investment and amplify any revenue shortfall [1]. Annual interest expense exceeding $400M consumes over 40% of revenue and produces chronic GAAP net losses despite strong operating cash flow of $133M. Revenue has declined from $1.08B (2022) to $965M (2025), and the current 6.6% growth rate must accelerate meaningfully to service the debt load. The healthcare payment integrity market is increasingly competitive with well-capitalized competitors (Optum, Cotiviti) investing heavily in AI-powered solutions [3]. The Inspire Impact Score of 20 (MIXED) places Claritev in neutral territory for faith-based investors, with positive attribution for Product Access and Affordability reflecting the company's role in reducing healthcare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bookings target of $100M (+50% YoY) would validate the digital transformation strategy and demonstrate sustainable commercial acceleration beyond the current 6.6% revenue growth rate [1]</w:t>
      </w:r>
    </w:p>
    <w:p>
      <w:pPr>
        <w:spacing w:before="40" w:after="40"/>
        <w:ind w:left="283"/>
      </w:pPr>
      <w:r>
        <w:rPr>
          <w:rFonts w:ascii="Calibri" w:hAnsi="Calibri"/>
          <w:b/>
          <w:color w:val="4A6B25"/>
          <w:sz w:val="20"/>
        </w:rPr>
        <w:t xml:space="preserve">2. </w:t>
      </w:r>
      <w:r>
        <w:rPr>
          <w:rFonts w:ascii="Calibri" w:hAnsi="Calibri"/>
          <w:b w:val="0"/>
          <w:color w:val="3A4A28"/>
          <w:sz w:val="20"/>
        </w:rPr>
        <w:t>AI-enabled product launches under Chief AI Officer Fernando Schwartz, particularly in real-time claims processing and predictive analytics, could differentiate Claritev's platform and drive pricing power [2]</w:t>
      </w:r>
    </w:p>
    <w:p>
      <w:pPr>
        <w:spacing w:before="40" w:after="40"/>
        <w:ind w:left="283"/>
      </w:pPr>
      <w:r>
        <w:rPr>
          <w:rFonts w:ascii="Calibri" w:hAnsi="Calibri"/>
          <w:b/>
          <w:color w:val="4A6B25"/>
          <w:sz w:val="20"/>
        </w:rPr>
        <w:t xml:space="preserve">3. </w:t>
      </w:r>
      <w:r>
        <w:rPr>
          <w:rFonts w:ascii="Calibri" w:hAnsi="Calibri"/>
          <w:b w:val="0"/>
          <w:color w:val="3A4A28"/>
          <w:sz w:val="20"/>
        </w:rPr>
        <w:t>Potential debt refinancing or deleveraging from $605-615M guided EBITDA could unlock significant equity value by reducing the $400M+ annual interest burden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$4.69B debt load with negative stockholders' equity creates existential risk if revenue growth stalls or interest rates remain elevated — free cash flow of $103M provides limited margin for simultaneous debt service and growth investment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Optum/Change Healthcare, Cotiviti, and Zelis — all investing heavily in AI-powered claims analytics — could erode Claritev's market position if the digital transformation fails to deliver differentiated products [3]</w:t>
      </w:r>
    </w:p>
    <w:p>
      <w:pPr>
        <w:spacing w:before="40" w:after="40"/>
        <w:ind w:left="283"/>
      </w:pPr>
      <w:r>
        <w:rPr>
          <w:rFonts w:ascii="Calibri" w:hAnsi="Calibri"/>
          <w:b/>
          <w:color w:val="4A6B25"/>
          <w:sz w:val="20"/>
        </w:rPr>
        <w:t xml:space="preserve">3. </w:t>
      </w:r>
      <w:r>
        <w:rPr>
          <w:rFonts w:ascii="Calibri" w:hAnsi="Calibri"/>
          <w:b w:val="0"/>
          <w:color w:val="3A4A28"/>
          <w:sz w:val="20"/>
        </w:rPr>
        <w:t>Revenue has declined from $1.08B (2022) to $965M (2025) and remains below prior peaks despite the turnaround narrative, suggesting the core business may face structural headwinds beyond cyclical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Claritev's core healthcare claims analytics and cost management platform faces meaningful AI disruption risk — large insurers (UnitedHealth, Cigna) are investing billions in AI-powered claims processing that could reduce reliance on third-party intermediaries like Claritev [1]. AI-powered healthcare pricing transparency tools could commoditize Claritev's repricing analytics. However, the company's network of 1.4M+ provider contracts and decades of proprietary claims data create structural switching costs that pure AI solutions cannot easily replicate. The appointment of Chief AI Officer Fernando Schwartz and deployment of AI across the platform demonstrates proactive adaptation [2]. AI Opportunity (1/1): AI-enhanced analytics products and bookings growth of 50% YoY are partially attributable to AI-enabled product differentiation in claims processing and payment integrity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Claritev Q1-Q2 2026 Earnings — Q1 Revenue $244.7M (+5.8% YoY), Q2 Revenue $257.5M (+6.6% YoY), Full-Year Guidance Raised to $985M-$1B, Bookings $70M H1 2026 — Seeking Alpha, Investing.com, 2026</w:t>
      </w:r>
    </w:p>
    <w:p>
      <w:pPr>
        <w:spacing w:before="20" w:after="20"/>
        <w:ind w:left="170"/>
      </w:pPr>
      <w:r>
        <w:rPr>
          <w:rFonts w:ascii="Calibri" w:hAnsi="Calibri"/>
          <w:b/>
          <w:color w:val="4A6B25"/>
          <w:sz w:val="15"/>
        </w:rPr>
        <w:t xml:space="preserve">2. </w:t>
      </w:r>
      <w:r>
        <w:rPr>
          <w:rFonts w:ascii="Calibri" w:hAnsi="Calibri"/>
          <w:b w:val="0"/>
          <w:color w:val="3A4A28"/>
          <w:sz w:val="17"/>
        </w:rPr>
        <w:t>Claritev Leadership and AI Strategy — CEO Travis Dalton, CAIO Fernando Schwartz Appointed Feb 2025, Digital Transformation — BusinessWire, AIM Research, April 2025</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CTEV Key Statistics: Forward P/E 4.2x, Stock Price $30.81, Total Debt $4.69B,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