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CVX</w:t>
      </w:r>
      <w:r>
        <w:rPr>
          <w:rFonts w:ascii="Calibri" w:hAnsi="Calibri"/>
          <w:b/>
          <w:color w:val="1A2010"/>
          <w:sz w:val="40"/>
        </w:rPr>
        <w:t xml:space="preserve">  Chevron Corporation</w:t>
      </w:r>
    </w:p>
    <w:p>
      <w:pPr>
        <w:spacing w:after="120"/>
      </w:pPr>
      <w:r>
        <w:rPr>
          <w:rFonts w:ascii="Calibri" w:hAnsi="Calibri"/>
          <w:b/>
          <w:color w:val="6E8450"/>
          <w:sz w:val="18"/>
        </w:rPr>
        <w:t>GROWTH SLEEVE · 2026-08-28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United States</w:t>
      </w:r>
    </w:p>
    <w:p>
      <w:pPr>
        <w:spacing w:after="80"/>
      </w:pPr>
      <w:r>
        <w:rPr>
          <w:rFonts w:ascii="Calibri" w:hAnsi="Calibri"/>
          <w:b w:val="0"/>
          <w:color w:val="3A4A28"/>
          <w:sz w:val="20"/>
        </w:rPr>
        <w:t>Chevron is one of the world's largest integrated energy companies, engaged in exploration, production, refining, and marketing of crude oil, natural gas, and petroleum products. Operations span upstream (Permian Basin, Gulf of America, Guyana, Australia LNG), midstream, downstream refining, and chemicals through Chevron Phillips Chemical. Completed the $53B Hess Corporation acquisition in 2024, adding significant Guyana deepwater assets. Q2 2026 delivered the highest quarterly profit in six years with upstream earnings of $8.2B and downstream earnings of $4.9B, driven by Brent crude at $104/barrel. Currently executing a 20% workforce reduction targeting ~32,000 employees by end of 2026.</w:t>
      </w:r>
    </w:p>
    <w:p>
      <w:r>
        <w:rPr>
          <w:rFonts w:ascii="Calibri" w:hAnsi="Calibri"/>
          <w:b/>
          <w:color w:val="6E8450"/>
          <w:sz w:val="18"/>
        </w:rPr>
        <w:t>32,000 Employees · https://www.chevron.com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$53B Hess Corporation acquisition completed in 2024 was a transformative strategic move that added world-class Guyana Stabroek block assets and is now delivering — net oil-equivalent production rose 18% YTD 2026, with Q2 2026 upstream earnings reaching $8.2B, validating the portfolio repositioning [1]. Permian Basin and Gulf of America deepwater expansions represent continued organic growth. AI Deployment (1/2): Chevron CFO discussed AI business value publicly in June 2026, and the company has scaled an enterprise AI 'skunkworks' team deploying AI for seismic well-placement analysis, predictive maintenance across refining, and NLP document processing through the Thoughttrace partnership [2]. No specific revenue or quantified savings have been disclosed. Market Share (1/2): Chevron is a top-5 global integrated oil company with significant Permian Basin and deepwater presence, but operates in a commodity market where individual players rarely define categories or gain meaningful share differentiation. Product Pipeline (1/2): Management reconfirmed 7-10% production growth guidance for 2026, Tengiz Future Growth Project in Kazakhstan nearing completion, and Guyana development continues with multiple FPSO phases planned [1]. R&amp;D Intensity (0/1): Oil and gas majors typically invest less than 1% of revenue in R&amp;D, well below technology sector peers, and Chevron follows this pattern.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Chevron's vision — 'To be the global energy company most admired for its people, partnership and performance' — identifies what the company aspires to be but is not distinctive or transformative. It describes an aspiration for admiration rather than articulating a deeper purpose about energy's role in human flourishing; the statement is interchangeable with any energy peer [2]. Community Impact (0/2): No specific foundation programs, community development initiatives, or charitable giving with measurable impact were identified beyond standard industry-level corporate social responsibility. Employee Retention (0/2): Chevron announced plans to cut approximately 20% of its workforce by end of 2026, reducing headcount from roughly 40,000 to 32,000 — a mass layoff during a period of record profits signals financial optimization over employee investment and creates organizational instability [2]. Insider Buying (0/2): Net insider selling of $179M over the last 12 months, including John Hess selling approximately 195,000 shares at ~$185/share. Significant net insider selling indicates leadership monetizing positions rather than accumulating.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Chevron's balance sheet remains conservatively levered with D/E of 25%, well below the 70% target [3]. Q2 2026 dramatically improved the earnings picture — Brent at $104/barrel drove upstream earnings of $8.2B and downstream of $4.9B, the highest quarterly profit in six years [1]. Forward P/E of 13.01 is well below the 20x target, and Forward PEG of 1.34 indicates reasonable growth-adjusted valuation. Revenue growth YoY surged to approximately 25% driven by higher commodity prices and Hess integration, exceeding the 10% target. The 5-year revenue CAGR remains strong at approximately 10%, boosted by the 2021-2022 commodity supercycle. However, ROE of 6.64% remains below the 15% target (2x weight for Growth), reflecting the capital-intensive nature of integrated oil operations, and net profit margin of approximately 10% is below the 20% target. Stock easily clears the liquidity floor with approximately $2.1B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Chevron under Mike Wirth operates primarily as a finite game player. The company's vision centers on being 'most admired' — an inherently comparative and finite aspiration. The $53B Hess acquisition demonstrated strategic boldness, but the simultaneous 20% workforce reduction during a period of record Q2 2026 profits reveals a leadership team optimizing for financial efficiency over long-term organizational trust. Chevron remains fundamentally tethered to its legacy oil and gas business model with minimal transformative flexibility, and competitive language focuses on scale and cost advantages rather than learning from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Chevron's vision — 'To be the global energy company most admired for its people, partnership and performance' — is an aspiration for admiration, not a Just Cause in Sinek's framework. It describes a desired reputation rather than a vision of a future state so appealing that people would sacrifice to advance it. Any company in any industry could substitute its name and sector. Strategic moves like the Hess acquisition and workforce cuts are justified on financial grounds, not in service of a larger purpose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Chevron's 20% workforce reduction — eliminating approximately 8,000 positions by end of 2026 while simultaneously reporting the highest quarterly profit in six years (Q2 2026) — fundamentally undermines Sinek's Circle of Safety [2]. Employees facing potential elimination during record profitability cannot feel psychologically safe. Glassdoor reviews cite a 'shifting culture that values saving money at the expense of speed, ingenuity, and teamwork' and managers who lack people-management capabilities. The scale and timing of cuts during peak earnings contradicts the company's 'people first' messaging.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Chevron's competitive language focuses on scale advantages, cost leadership, and operational efficiency relative to peers like ExxonMobil — finite metrics of winning rather than infinite mindsets of improving. Management discussions emphasize 'leading' the industry and achieving 'top-tier' returns, framing competition as a ranking exercise. No evidence of leadership acknowledging competitors' specific strengths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Hess acquisition demonstrates willingness to evolve Chevron's portfolio — shifting emphasis toward high-growth Guyana deepwater assets, which represents meaningful strategic adaptation [1]. Chevron has also incrementally entered lower-carbon businesses including hydrogen, carbon capture, and renewable fuels. However, these moves are incremental extensions of the core oil and gas business, not transformative pivots. Chevron remains fundamentally an integrated oil company with no equivalent of a business-model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$53B Hess acquisition was a bold, transformative bet that significantly reshaped Chevron's portfolio, accepting integration risk and legal challenges (ExxonMobil arbitration over preemptive rights) for long-term production growth [1]. Chevron maintained its 39-year dividend growth streak through the 2020 oil crash when many peers cut payouts. However, the simultaneous workforce reduction of 20% — during record profits — suggests the acquisition's courage is offset by conventional financial optimization rather than investment in organizational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Chevron at 13x forward earnings offers compelling value exposure to the global energy cycle — Q2 2026 delivered the company's highest quarterly profit in six years with upstream earnings of $8.2B (+200% YoY) and downstream earnings of $4.9B (up from $737M), driven by Brent crude at $104/barrel and 18% production growth from the Hess integration [1]. The conservative balance sheet (D/E 25%) provides defensive positioning, the 39-year dividend growth streak at 3.46% yield offers income stability, and Forward PEG of 1.34 suggests reasonable growth-adjusted valuation. The Hess acquisition added premier Guyana Stabroek block assets with decades of production runway, and AI data center electricity demand creates a secular tailwind for natural gas consumption [2].</w:t>
      </w:r>
    </w:p>
    <w:p>
      <w:pPr>
        <w:spacing w:after="120"/>
      </w:pPr>
      <w:r>
        <w:rPr>
          <w:rFonts w:ascii="Calibri" w:hAnsi="Calibri"/>
          <w:b w:val="0"/>
          <w:color w:val="3A4A28"/>
          <w:sz w:val="20"/>
        </w:rPr>
        <w:t>The bear case centers on commodity cyclicality, workforce instability, and structural headwinds. Q2 2026 results were driven by Brent at $104/barrel — sustained by geopolitical tensions (Iran conflict) rather than fundamental demand growth — and normalization toward $70-80 would compress earnings 40-50% [1]. ROE of 6.64% and net profit margin of approximately 10% lag the broader market even at elevated commodity prices. The 20% workforce reduction (~8,000 positions) during record profits signals financial engineering over organizational investment, and net insider selling of $179M in the last 12 months suggests leadership sees limited upside at current levels. The ExxonMobil arbitration over Hess's Guyana preemptive rights remains unresolved and could cloud full value realization [3]. The Inspire Impact Score of -49 (MISALIGNED) limits allocation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elevated oil prices above $100/barrel driven by geopolitical supply disruptions and growing AI data center electricity demand, which directly increases natural gas consumption and energy infrastructure investment [1]</w:t>
      </w:r>
    </w:p>
    <w:p>
      <w:pPr>
        <w:spacing w:before="40" w:after="40"/>
        <w:ind w:left="283"/>
      </w:pPr>
      <w:r>
        <w:rPr>
          <w:rFonts w:ascii="Calibri" w:hAnsi="Calibri"/>
          <w:b/>
          <w:color w:val="4A6B25"/>
          <w:sz w:val="20"/>
        </w:rPr>
        <w:t xml:space="preserve">2. </w:t>
      </w:r>
      <w:r>
        <w:rPr>
          <w:rFonts w:ascii="Calibri" w:hAnsi="Calibri"/>
          <w:b w:val="0"/>
          <w:color w:val="3A4A28"/>
          <w:sz w:val="20"/>
        </w:rPr>
        <w:t>Hess integration synergies and Guyana Stabroek block production ramp delivering on 7-10% production growth targets, with multiple FPSO development phases providing visible multi-year growth</w:t>
      </w:r>
    </w:p>
    <w:p>
      <w:pPr>
        <w:spacing w:before="40" w:after="40"/>
        <w:ind w:left="283"/>
      </w:pPr>
      <w:r>
        <w:rPr>
          <w:rFonts w:ascii="Calibri" w:hAnsi="Calibri"/>
          <w:b/>
          <w:color w:val="4A6B25"/>
          <w:sz w:val="20"/>
        </w:rPr>
        <w:t xml:space="preserve">3. </w:t>
      </w:r>
      <w:r>
        <w:rPr>
          <w:rFonts w:ascii="Calibri" w:hAnsi="Calibri"/>
          <w:b w:val="0"/>
          <w:color w:val="3A4A28"/>
          <w:sz w:val="20"/>
        </w:rPr>
        <w:t>Tengiz Future Growth Project in Kazakhstan nearing completion, adding significant low-cost production capacity and improving upstream cost structure; $3-4B structural cost reduction program reaching full run-rate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normalization if Iran conflict de-escalates or global recession reduces oil demand — Brent returning to $70-80/barrel would compress earnings 40-50% and pressure the dividend payout ratio [1]</w:t>
      </w:r>
    </w:p>
    <w:p>
      <w:pPr>
        <w:spacing w:before="40" w:after="40"/>
        <w:ind w:left="283"/>
      </w:pPr>
      <w:r>
        <w:rPr>
          <w:rFonts w:ascii="Calibri" w:hAnsi="Calibri"/>
          <w:b/>
          <w:color w:val="4A6B25"/>
          <w:sz w:val="20"/>
        </w:rPr>
        <w:t xml:space="preserve">2. </w:t>
      </w:r>
      <w:r>
        <w:rPr>
          <w:rFonts w:ascii="Calibri" w:hAnsi="Calibri"/>
          <w:b w:val="0"/>
          <w:color w:val="3A4A28"/>
          <w:sz w:val="20"/>
        </w:rPr>
        <w:t>ExxonMobil arbitration over preemptive rights to Hess's Guyana Stabroek block assets could force renegotiation or limit Chevron's access to the most valuable development phases</w:t>
      </w:r>
    </w:p>
    <w:p>
      <w:pPr>
        <w:spacing w:before="40" w:after="40"/>
        <w:ind w:left="283"/>
      </w:pPr>
      <w:r>
        <w:rPr>
          <w:rFonts w:ascii="Calibri" w:hAnsi="Calibri"/>
          <w:b/>
          <w:color w:val="4A6B25"/>
          <w:sz w:val="20"/>
        </w:rPr>
        <w:t xml:space="preserve">3. </w:t>
      </w:r>
      <w:r>
        <w:rPr>
          <w:rFonts w:ascii="Calibri" w:hAnsi="Calibri"/>
          <w:b w:val="0"/>
          <w:color w:val="3A4A28"/>
          <w:sz w:val="20"/>
        </w:rPr>
        <w:t>Structural long-term demand erosion from EV adoption, renewable energy cost curves, and carbon regulation — Chevron's minimal renewable investment leaves it more exposed than peers who have diversified energy portfolios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Chevron's core business — extracting hydrocarbons from subsurface reservoirs, operating refineries, and transporting physical commodities — involves physical-world operations that AI structurally cannot replace [2]. Oil and gas extraction requires drilling rigs, offshore platforms, pipeline infrastructure, and regulatory permits that exist entirely outside AI's substitution capability. AI proliferation is a net demand tailwind: data center power consumption is growing rapidly, much of it served by natural gas-fired generation, directly increasing demand for Chevron's core products. Analysts see zero substitution risk for integrated oil majors. AI Opportunity (0/1): Chevron deploys AI internally for seismic analysis, predictive maintenance, and NLP document processing, creating operational efficiencies across the value chain. However, these are internal productivity tools — the company does not generate quantifiable external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Chevron Q2 2026 Earnings Release — Highest Quarterly Profit in Six Years, Upstream $8.2B, Downstream $4.9B, Brent at $104/barrel, Production Up 18% YTD — BusinessWire/Quartz, July 2026</w:t>
      </w:r>
    </w:p>
    <w:p>
      <w:pPr>
        <w:spacing w:before="20" w:after="20"/>
        <w:ind w:left="170"/>
      </w:pPr>
      <w:r>
        <w:rPr>
          <w:rFonts w:ascii="Calibri" w:hAnsi="Calibri"/>
          <w:b/>
          <w:color w:val="4A6B25"/>
          <w:sz w:val="15"/>
        </w:rPr>
        <w:t xml:space="preserve">2. </w:t>
      </w:r>
      <w:r>
        <w:rPr>
          <w:rFonts w:ascii="Calibri" w:hAnsi="Calibri"/>
          <w:b w:val="0"/>
          <w:color w:val="3A4A28"/>
          <w:sz w:val="17"/>
        </w:rPr>
        <w:t>Chevron Leadership, AI Strategy, Culture, and Workforce Reduction — CEO Mike Wirth, CFO AI Commentary, Glassdoor Reviews, 20% Headcount Cut — Fortune, Glassdoor, Nasdaq News, 2026</w:t>
      </w:r>
    </w:p>
    <w:p>
      <w:pPr>
        <w:spacing w:before="20" w:after="20"/>
        <w:ind w:left="170"/>
      </w:pPr>
      <w:r>
        <w:rPr>
          <w:rFonts w:ascii="Calibri" w:hAnsi="Calibri"/>
          <w:b/>
          <w:color w:val="4A6B25"/>
          <w:sz w:val="15"/>
        </w:rPr>
        <w:t xml:space="preserve">3. </w:t>
      </w:r>
      <w:r>
        <w:rPr>
          <w:rFonts w:ascii="Calibri" w:hAnsi="Calibri"/>
          <w:b w:val="0"/>
          <w:color w:val="3A4A28"/>
          <w:sz w:val="17"/>
        </w:rPr>
        <w:t>Chevron ESG, Governance, and Valuation — Israel Activism Proposal, Financial Metrics (Forward P/E 13.01, D/E 25%, ROE 6.64%) — Yahoo Finance, GurufFocus, StockAnalysis,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