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DKNG</w:t>
      </w:r>
      <w:r>
        <w:rPr>
          <w:rFonts w:ascii="Calibri" w:hAnsi="Calibri"/>
          <w:b/>
          <w:color w:val="1A2010"/>
          <w:sz w:val="40"/>
        </w:rPr>
        <w:t xml:space="preserve">  DraftKings Inc.</w:t>
      </w:r>
    </w:p>
    <w:p>
      <w:pPr>
        <w:spacing w:after="120"/>
      </w:pPr>
      <w:r>
        <w:rPr>
          <w:rFonts w:ascii="Calibri" w:hAnsi="Calibri"/>
          <w:b/>
          <w:color w:val="6E8450"/>
          <w:sz w:val="18"/>
        </w:rPr>
        <w:t>GROWTH SLEEVE · 2026-08-16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NASDAQ · United States</w:t>
      </w:r>
    </w:p>
    <w:p>
      <w:pPr>
        <w:spacing w:after="80"/>
      </w:pPr>
      <w:r>
        <w:rPr>
          <w:rFonts w:ascii="Calibri" w:hAnsi="Calibri"/>
          <w:b w:val="0"/>
          <w:color w:val="3A4A28"/>
          <w:sz w:val="20"/>
        </w:rPr>
        <w:t>DraftKings Inc. operates as a digital sports entertainment and gaming company in the United States and internationally, offering online and retail sports betting, daily fantasy sports, digital lottery couriers, prediction markets, and iGaming products. Q2 2026 revenue declined 5% YoY to $1.44 billion on customer-friendly sports outcomes and a planned 10% increase in customer acquisition spend, though management maintained full-year 2026 guidance of $6.5-6.9 billion revenue and $700-900 million Adjusted EBITDA, and its new Predictions product scaled to an $11 billion annualized volume run-rate in July 2026, nearly 5x its April level.</w:t>
      </w:r>
    </w:p>
    <w:p>
      <w:r>
        <w:rPr>
          <w:rFonts w:ascii="Calibri" w:hAnsi="Calibri"/>
          <w:b/>
          <w:color w:val="6E8450"/>
          <w:sz w:val="18"/>
        </w:rPr>
        <w:t>5,500 Employees · https://www.draftkings.com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DraftKings' Predictions product scaled from $2.3 billion annualized volume in April 2026 to $11 billion in July 2026 — nearly a 5x increase in three months — while Sports Consumer Volume grew 15% YoY to $13.1 billion, demonstrating continued category-expanding execution beyond the core sportsbook [1]. AI Deployment (1/2): CEO Jason Robins states all departments are now making full use of AI technology with cited improvements in customer service and product development, though no specific revenue or cost-savings figures have been disclosed [2]. Market Share (2/2): DraftKings remains the #1 or #2 US online sportsbook by handle, and customer acquisition surged nearly 75% YoY in Q2 2026 with roughly 30% more new customers than planned, evidencing continued share gains even as hold-rate variance pressured reported revenue [1]. Product Pipeline (2/2): Management maintained full-year 2026 guidance of $6.5-6.9 billion revenue and $700-900 million Adjusted EBITDA, with core-business Adjusted EBITDA tracking toward ~$1.0 billion, and Predictions' rapid scale-up provides a concrete, quantified new growth vector [1]. R&amp;D Intensity (1/1): DraftKings continues to build its sportsbook, iGaming, and Predictions platforms end-to-end with proprietary technology, well above typical gaming-industry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DraftKings' stated purpose — 'bringing fans closer to the games they love' — remains generic and could describe any sports media company, and is in increasing tension with 2026 litigation alleging the company's algorithm and notification design specifically targets losing, potentially addicted bettors [2][5]. Community Impact (1/2): The company maintains standard ESG programs (tree-planting, responsible gaming tools such as self-exclusion and spending limits), typical for a regulated gaming operator rather than distinctive [3]. Employee Retention (1/2): Named a Top Workplaces USA winner for a fourth consecutive year with a 4.0 Glassdoor rating, but reviews continue to cite burnout and AI-driven layoff anxiety [2]. Insider Buying (1/2): 2026 CEO transactions are predominantly RSU vesting and tax-withholding settlements rather than discretionary open-market sales, a roughly neutral signal; board-level purchases in the prior year (Sloan ~$2.9M, Wendt ~$303K) provide some offsetting conviction evidence, but no clear net insider buying pattern was identified in 2026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Q2 2026 marked a step back from the profitability inflection narrative: revenue fell 5% YoY to $1.44 billion (missing the $1.51B estimate) on customer-friendly sports outcomes and a 10% planned increase in customer acquisition spend, and TTM figures now show a $166.9 million net loss, ROE of -21.14% (below the 0% floor, scoring 0.0 at 2x weight), and profit margin of -2.68% (also below floor, scoring 0.0). D/E has climbed to 336%, now beyond the 300% floor and scoring 0.0. Revenue growth YoY of -5.0% scores just 0.5 against the -20%/+10% floor-to-target range, though the 5yr revenue CAGR (~47%, largely reflecting the earlier land-grab era) still scores at the cap (2x weight) and is the main offsetting factor. Forward P/E has ballooned to 47.54x, scoring only 0.31 against the 20x target — no longer the 'growth at a reasonable price' story from the prior quarter. PEG is unavailable given the current loss. Liquidity remains a non-issue at ~$361M in daily dollar volume (13.81M shares x $26.14).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DraftKings under founder-CEO Jason Robins continues to show real long-term product-building instincts — the rapid scale-up of Predictions and continued category expansion reflect genuine innovation investment. But 2026 brought a serious credibility challenge to any claim of a service-oriented Just Cause: litigation alleging the company's algorithms intentionally target losing, potentially addicted bettors with tailored bonuses directly contradicts a 'bringing fans closer to the games' mission, and combined with a Q2 revenue miss and deteriorating balance sheet metrics, the infinite-game case has weakened materially since the prior screen.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DraftKings' stated purpose of 'bringing fans closer to the games they love' is now in direct tension with 2026 litigation alleging the company's app design and marketing intentionally targets losing bettors — tailoring notifications and bonuses to those more likely to have gambling addiction problems, and reportedly withholding UK-level responsible-gaming safeguards from US users [5]. Regardless of the Pennsylvania court's dismissal of one such claim, the pattern of allegations across multiple suits and the introduction of the federal SAFE Bet Act targeting these exact practices indicate the core business model, as practiced, is oriented toward extraction rather than a genuine service-oriented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DraftKings was again named a Top Workplaces USA winner with a 4.0 Glassdoor rating, but reviews continue to cite burnout, favoritism concerns, and anxiety tied to AI-driven workforce changes, indicating trust varies meaningfully across the organization rather than reflecting a uniformly high-trust culture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DraftKings continues to frame FanDuel as its primary competitive benchmark, matching product features (same-game parlays, iGaming expansion) and investing in proprietary technology to differentiate, with management language centered on building the best product rather than destroying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rapid scale-up of Predictions (nearly 5x volume growth in three months) demonstrates continued willingness to expand into adjacent product categories beyond traditional sports betting, following the earlier DFS-to-sportsbook pivot [1]. This is meaningful adaptation but remains incremental category expansion rather than a transformative reinvention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Robins' historical willingness to sustain $1.5B+ in cumulative losses (2020-2023) to build state-by-state market position remains the clearest evidence of long-term conviction, and the company's continued 10% increase in planned customer acquisition spend in Q2 2026 despite the near-term EBITDA hit shows willingness to prioritize share over quarter-to-quarter optics [1]. However, this is offset by the absence of any visible response — beyond litigation defense — to the mounting addiction-related allegations, which would be the more consequential test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DraftKings' Predictions product scaled from $2.3 billion to $11 billion in annualized volume between April and July 2026 — nearly a 5x increase — while Sports Consumer Volume grew 15% YoY to $13.1 billion and new customer acquisition ran roughly 30% ahead of plan, evidence that the core growth engine remains intact even as reported revenue dipped [1]. Management held full-year 2026 guidance at $6.5-6.9 billion revenue and $700-900 million Adjusted EBITDA, with core-business EBITDA tracking toward ~$1.0 billion, framing Q2's softness as sports-outcome variance and planned reinvestment rather than a structural slowdown [1]. Analyst consensus remains constructive with a 'Buy' rating and a $34.79 price target against the current $26.14 share price.</w:t>
      </w:r>
    </w:p>
    <w:p>
      <w:pPr>
        <w:spacing w:after="120"/>
      </w:pPr>
      <w:r>
        <w:rPr>
          <w:rFonts w:ascii="Calibri" w:hAnsi="Calibri"/>
          <w:b w:val="0"/>
          <w:color w:val="3A4A28"/>
          <w:sz w:val="20"/>
        </w:rPr>
        <w:t>The bear case has strengthened materially since the prior screen. Q2 2026 revenue fell 5% YoY to $1.44 billion (missing estimates), and TTM figures now show a $166.9 million net loss with ROE of -21.14%, profit margin of -2.68%, and D/E of 336% — all four metrics now scoring at or near the floor of the Infrastructure algorithm, a sharp reversal from the prior quarter's profitability inflection narrative [1]. Forward P/E has expanded to 47.54x with the company back in loss territory, removing the 'growth at a reasonable price' argument entirely. Most seriously, active litigation alleges DraftKings' algorithms intentionally target losing, potentially addiction-prone bettors with tailored bonuses and notifications, and the federal SAFE Bet Act introduced in May 2026 specifically targets the AI-driven promotional tactics central to DraftKings' personalization and customer-acquisition playbook — a regulatory and reputational risk that could constrain the very growth engine (Predictions, personalized offers) currently driving the bull case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Predictions volume scale-up (already $11B annualized in July 2026, up from $2.3B in April) establishing a durable third growth pillar alongside sportsbook and iGaming</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delivery ($6.5-6.9B revenue, $700-900M Adjusted EBITDA, ~$1.0B core EBITDA) proving Q2's sports-outcome-driven miss was transitory rather than structural</w:t>
      </w:r>
    </w:p>
    <w:p>
      <w:pPr>
        <w:spacing w:before="40" w:after="40"/>
        <w:ind w:left="283"/>
      </w:pPr>
      <w:r>
        <w:rPr>
          <w:rFonts w:ascii="Calibri" w:hAnsi="Calibri"/>
          <w:b/>
          <w:color w:val="4A6B25"/>
          <w:sz w:val="20"/>
        </w:rPr>
        <w:t xml:space="preserve">3. </w:t>
      </w:r>
      <w:r>
        <w:rPr>
          <w:rFonts w:ascii="Calibri" w:hAnsi="Calibri"/>
          <w:b w:val="0"/>
          <w:color w:val="3A4A28"/>
          <w:sz w:val="20"/>
        </w:rPr>
        <w:t>Additional state iGaming legalizations (currently limited to a handful of states) expanding DraftKings' highest-margin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SAFE Bet Act or similar federal/state legislation restricting the AI-driven promotional and personalization tactics (tailored bonuses, high-frequency notifications) that currently drive customer acquisition and engagement</w:t>
      </w:r>
    </w:p>
    <w:p>
      <w:pPr>
        <w:spacing w:before="40" w:after="40"/>
        <w:ind w:left="283"/>
      </w:pPr>
      <w:r>
        <w:rPr>
          <w:rFonts w:ascii="Calibri" w:hAnsi="Calibri"/>
          <w:b/>
          <w:color w:val="4A6B25"/>
          <w:sz w:val="20"/>
        </w:rPr>
        <w:t xml:space="preserve">2. </w:t>
      </w:r>
      <w:r>
        <w:rPr>
          <w:rFonts w:ascii="Calibri" w:hAnsi="Calibri"/>
          <w:b w:val="0"/>
          <w:color w:val="3A4A28"/>
          <w:sz w:val="20"/>
        </w:rPr>
        <w:t>Mounting gambling-addiction litigation alleging intentional algorithmic targeting of vulnerable bettors creating sustained legal costs, reputational damage, and potential mandated product changes even where individual claims are dismissed</w:t>
      </w:r>
    </w:p>
    <w:p>
      <w:pPr>
        <w:spacing w:before="40" w:after="40"/>
        <w:ind w:left="283"/>
      </w:pPr>
      <w:r>
        <w:rPr>
          <w:rFonts w:ascii="Calibri" w:hAnsi="Calibri"/>
          <w:b/>
          <w:color w:val="4A6B25"/>
          <w:sz w:val="20"/>
        </w:rPr>
        <w:t xml:space="preserve">3. </w:t>
      </w:r>
      <w:r>
        <w:rPr>
          <w:rFonts w:ascii="Calibri" w:hAnsi="Calibri"/>
          <w:b w:val="0"/>
          <w:color w:val="3A4A28"/>
          <w:sz w:val="20"/>
        </w:rPr>
        <w:t>Balance sheet deterioration (D/E of 336%, negative ROE and profit margin, Q2 revenue decline) removing the valuation cushion that supported the stock through the prior profitability-inflection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Online sports betting and iGaming remain protected by state-by-state licensing, age verification, and geolocation regulatory frameworks that AI cannot bypass, and DraftKings' scale and league partnerships create structural moats [1]. However, 2026 brought a new and specific AI-related risk: federal lawmakers introduced the SAFE Bet Act explicitly targeting AI-driven promotions, personalized notifications, and high-frequency wagering tactics used by sportsbooks, and active litigation alleges DraftKings' algorithm design intentionally targets losing bettors with tailored bonuses — a direct regulatory and reputational threat to the AI-personalization playbook that has driven customer acquisition and engagement gains [5]. This is a qualitatively different risk than generic AI substitution, but it materially increases uncertainty around how DraftKings can deploy its core AI tools going forward. AI Opportunity (1/1): DraftKings continues to deploy AI extensively across odds optimization, personalized engagement, fraud detection, and responsible-gaming monitoring, with management citing AI adoption across all departments as a driver of the Predictions product's rapid scale-up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DraftKings Q2 2026 Earnings Release and Call Transcript — Revenue $1.44B (-5% YoY), Maintained FY26 Guidance, Predictions Volume Scale-Up — Seeking Alpha, The Motley Fool,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DraftKings CEO Jason Robins — AI Adoption, Culture, Strategic Priorities Commentary — EGR Intel, Masters of Scale, LinkedIn/Bloomberg, 2026</w:t>
      </w:r>
    </w:p>
    <w:p>
      <w:pPr>
        <w:spacing w:before="20" w:after="20"/>
        <w:ind w:left="170"/>
      </w:pPr>
      <w:r>
        <w:rPr>
          <w:rFonts w:ascii="Calibri" w:hAnsi="Calibri"/>
          <w:b/>
          <w:color w:val="4A6B25"/>
          <w:sz w:val="15"/>
        </w:rPr>
        <w:t xml:space="preserve">3. </w:t>
      </w:r>
      <w:r>
        <w:rPr>
          <w:rFonts w:ascii="Calibri" w:hAnsi="Calibri"/>
          <w:b w:val="0"/>
          <w:color w:val="3A4A28"/>
          <w:sz w:val="17"/>
        </w:rPr>
        <w:t>DraftKings ESG Commitment and Sustainability Reports, 2024-2026</w:t>
      </w:r>
    </w:p>
    <w:p>
      <w:pPr>
        <w:spacing w:before="20" w:after="20"/>
        <w:ind w:left="170"/>
      </w:pPr>
      <w:r>
        <w:rPr>
          <w:rFonts w:ascii="Calibri" w:hAnsi="Calibri"/>
          <w:b/>
          <w:color w:val="4A6B25"/>
          <w:sz w:val="15"/>
        </w:rPr>
        <w:t xml:space="preserve">4. </w:t>
      </w:r>
      <w:r>
        <w:rPr>
          <w:rFonts w:ascii="Calibri" w:hAnsi="Calibri"/>
          <w:b w:val="0"/>
          <w:color w:val="3A4A28"/>
          <w:sz w:val="17"/>
        </w:rPr>
        <w:t>DraftKings Q4 2025 Earnings Release and Full-Year 2025 Results, SEC, February 2026</w:t>
      </w:r>
    </w:p>
    <w:p>
      <w:pPr>
        <w:spacing w:before="20" w:after="20"/>
        <w:ind w:left="170"/>
      </w:pPr>
      <w:r>
        <w:rPr>
          <w:rFonts w:ascii="Calibri" w:hAnsi="Calibri"/>
          <w:b/>
          <w:color w:val="4A6B25"/>
          <w:sz w:val="15"/>
        </w:rPr>
        <w:t xml:space="preserve">5. </w:t>
      </w:r>
      <w:r>
        <w:rPr>
          <w:rFonts w:ascii="Calibri" w:hAnsi="Calibri"/>
          <w:b w:val="0"/>
          <w:color w:val="3A4A28"/>
          <w:sz w:val="17"/>
        </w:rPr>
        <w:t>Eastern Herald / TorHoerman Law / AboutLawsuits.com / PlayUSA — DraftKings Gambling Addiction Lawsuits, Algorithm Design Allegations, SAFE Bet Act, April-May 2026</w:t>
      </w:r>
    </w:p>
    <w:p>
      <w:pPr>
        <w:spacing w:before="20" w:after="20"/>
        <w:ind w:left="170"/>
      </w:pPr>
      <w:r>
        <w:rPr>
          <w:rFonts w:ascii="Calibri" w:hAnsi="Calibri"/>
          <w:b/>
          <w:color w:val="4A6B25"/>
          <w:sz w:val="15"/>
        </w:rPr>
        <w:t xml:space="preserve">6. </w:t>
      </w:r>
      <w:r>
        <w:rPr>
          <w:rFonts w:ascii="Calibri" w:hAnsi="Calibri"/>
          <w:b w:val="0"/>
          <w:color w:val="3A4A28"/>
          <w:sz w:val="17"/>
        </w:rPr>
        <w:t>GuruFocus / Investing.com / StockTitan SEC Form 4 Filings — Jason Robins Insider Transactions, 2025-2026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DKNG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