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DOW</w:t>
      </w:r>
      <w:r>
        <w:rPr>
          <w:rFonts w:ascii="Calibri" w:hAnsi="Calibri"/>
          <w:b/>
          <w:color w:val="1A2010"/>
          <w:sz w:val="40"/>
        </w:rPr>
        <w:t xml:space="preserve">  Dow Inc.</w:t>
      </w:r>
    </w:p>
    <w:p>
      <w:pPr>
        <w:spacing w:after="120"/>
      </w:pPr>
      <w:r>
        <w:rPr>
          <w:rFonts w:ascii="Calibri" w:hAnsi="Calibri"/>
          <w:b/>
          <w:color w:val="6E8450"/>
          <w:sz w:val="18"/>
        </w:rPr>
        <w:t>DIVIDEND SLEEVE · 2026-08-16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Chemicals · NYSE · United States</w:t>
      </w:r>
    </w:p>
    <w:p>
      <w:pPr>
        <w:spacing w:after="80"/>
      </w:pPr>
      <w:r>
        <w:rPr>
          <w:rFonts w:ascii="Calibri" w:hAnsi="Calibri"/>
          <w:b w:val="0"/>
          <w:color w:val="3A4A28"/>
          <w:sz w:val="20"/>
        </w:rPr>
        <w:t>Dow Inc. is a global materials science company operating through three segments — Packaging &amp; Specialty Plastics, Industrial Intermediates &amp; Infrastructure, and Performance Materials &amp; Coatings — serving packaging, infrastructure, mobility, consumer care, and industrial markets. Headquartered in Midland, Michigan, Dow is the successor to Dow Chemical and DowDuPont's 2019 materials science spinoff. Karen Carter became CEO on July 1, 2026, succeeding Jim Fitterling, who remains Executive Chair. The company is mid-cycle in a commodity chemicals downturn, having cut its quarterly dividend 50% (to $0.35/share) in mid-2025 after posting consecutive net losses, while advancing the $7.5B Path2Zero net-zero ethylene project in Alberta.</w:t>
      </w:r>
    </w:p>
    <w:p>
      <w:r>
        <w:rPr>
          <w:rFonts w:ascii="Calibri" w:hAnsi="Calibri"/>
          <w:b/>
          <w:color w:val="6E8450"/>
          <w:sz w:val="18"/>
        </w:rPr>
        <w:t>37,031 Employees · https://www.dow.com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Dow restarted construction on its $7.5B Path2Zero project in Fort Saskatchewan, Alberta in January 2026 after a 9-month economically-driven pause — targeted as the world's first net-zero Scope 1&amp;2 integrated ethylene cracker — but Phase 1 startup has slipped to late 2029 and Phase 2 to late 2030, a 1-2 year delay versus the original plan, reflecting execution inconsistency rather than a completed transformation [1][2]. AI Deployment (0/2): Dow showcased DOWSIL immersion-cooling fluids and thermal management materials for AI data centers at COMPUTEX Taipei 2026, but this is a commodity materials sale into the AI infrastructure buildout, not an AI-powered product or internally deployed AI generating quantified savings [3]. Market Share (1/2): Dow holds meaningful global share in polyethylene, silicones, and industrial intermediates but is not the definitive category leader — LyondellBasell, BASF, and SABIC compete directly, and Q2 2026 results were driven by a 40% cyclical polyethylene price spike rather than share gains [4]. Product Pipeline (0/2): No near-term next-generation product launches with specific dates and revenue visibility were identified beyond the delayed, capital-intensive Path2Zero project. R&amp;D Intensity (0/1): Dow does not disclose R&amp;D spend as a differentiated growth lever; commodity chemical R&amp;D intensity trails specialty-chemical and technology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Dow's stated ambition — to be 'the most innovative, customer-centric, inclusive and sustainable materials science company in the world' — connects to a genuine decarbonization thesis (Path2Zero's net-zero cracker), but the 9-month pause of that flagship project on economic grounds undercuts the claim that the purpose consistently drives strategic decisions regardless of near-term cost [1][2]. Community Impact (0/2): No specific charitable programs, foundation dollar commitments, or community investment initiatives were identified in research despite Dow's long Midland, Michigan heritage. Employee Retention (0/2): Glassdoor rating of 3.9/5 with 76% recommending the company is respectable, but reviews cite 'extremely high' turnover tied to a rigid high-performer promotion track, repeated layoff rounds, and merit increases capped near 2-3% — signals of retention pressure rather than mission-driven loyalty [5]. Insider Buying (0/2): No evidence of net insider buying by Karen Carter or other executives was identified following the CEO transition or the 2025 dividend cut.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Dow is mid-downturn: TTM profit margin of -2.35% and ROE of -13.82% both hit the zero floor, reflecting the commodity chemicals cycle trough and a 402% payout ratio in Q3 2025 that flipped negative in subsequent quarters as the company posted net losses, also flooring the payout-ratio score [6][7]. D/E of ~108% is above the 70% target but well inside the 300% floor (score ~0.84). Q2 2026 revenue grew 20% YoY to $12.1B on a 40% polyethylene price surge plus $300M+ of self-help cost actions, clearing the 10% revenue-growth target, while 5-year revenue CAGR of ~2.7% (FY2020 $38.5B to FY2024 $43.0B) sits below the 10% target [4][6]. Forward P/E of ~11.2x is well under the 20x target. On dividend metrics, the ~460-consecutive-quarter (115+ year) payment streak scores near-perfect at 2x weight, but consecutive years of dividend growth resets to 0 and the 5-year dividend CAGR is deeply negative (~-13%) following the July 2025 50% dividend cut from $0.70 to $0.35/share, both flooring at zero [8][9]. Liquidity is not a constraint: ~13.1M average daily volume x $31.30 stock price = ~$410M daily dollar volume, far above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Dow presents itself as a long-horizon materials science company committed to decarbonization through Path2Zero, but 2025-2026 events reveal a company still playing largely to the current cycle: the flagship net-zero project was paused for nine months on near-term economics before being restarted, the dividend was cut in half after five quarters held flat, and employee reviews describe layoffs and high turnover amid cost-cutting. These are the actions of a company managing through a commodity trough, not one demonstrating Sinek's hallmark consistency of cause through adversity.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Dow's stated purpose of building a more sustainable, innovative materials science company is genuine on paper and connects to the world's-first net-zero ethylene cracker at Path2Zero, but the cause bent to short-term financial pressure when the board paused that very project for nine months in 2025 before restarting in January 2026 — evidence the cause is not yet resilient enough to survive a difficult quarter without compromise [1][2].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Despite a respectable 3.9/5 Glassdoor rating and 76% recommend rate, employee reviews describe 'extremely high' turnover, a rigid high-performer track that blocks advancement for most employees, repeated layoff rounds, and merit increases capped near 2-3% — evidence of a cost-constrained, lower-trust environment during the current downcycle rather than the psychological safety Sinek's framework rewards [5].</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Dow's public commentary centers on its own cost position, self-help savings ($300M+ in Q2 2026), and feedstock advantage rather than acknowledging strengths of rivals like LyondellBasell, BASF, or SABIC or framing competition as a spur for self-improvement [4].</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Dow has incrementally shifted its portfolio mix from legacy commodity chemicals toward higher-growth, lower-carbon derivatives and circular-plastics capabilities since the 2019 DowDuPont spinoff, and Path2Zero represents a genuine bet on a decarbonized production model. However, this is portfolio evolution within the existing commodity/specialty chemicals business rather than a transformative pivot into a new business model, and the project pause shows the bet is still reversible under pressure.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Recommitting $7.5B to Path2Zero and continuing construction despite ongoing net losses and a slashed dividend shows some willingness to fund long-term capability during a downturn [1][2]. However, the initial nine-month pause of the project when conditions were unfavorable, followed by a 50% dividend cut, suggests leadership optimized for near-term balance-sheet protection first and only resumed the long-term bet once commodity prices (and the outlook) improved.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Dow is a cyclical commodity chemicals recovery play trading at a depressed ~11.2x forward earnings after a brutal 2024-2025 downturn that forced a 50% dividend cut and consecutive net losses. Q2 2026 delivered a sharp inflection — net sales of $12.1B (+20% YoY), GAAP net income of $802M, and $692M of free cash flow — driven by a 40% surge in polyethylene prices and over $300M in self-help cost actions, with management guiding Q3 EBITDA to $1.7B [4][6]. The restart of the $7.5B Path2Zero net-zero ethylene project in Alberta, backed by new CEO Karen Carter's emphasis on Americas feedstock security, gives Dow a multi-year capacity and decarbonization story once commodity pricing normalizes [1][2]. At a 4.47% dividend yield with a 115+ year uninterrupted (though recently cut) payment history and ~$410M in daily liquidity, income-oriented investors get paid to wait for the cycle to turn.</w:t>
      </w:r>
    </w:p>
    <w:p>
      <w:pPr>
        <w:spacing w:after="120"/>
      </w:pPr>
      <w:r>
        <w:rPr>
          <w:rFonts w:ascii="Calibri" w:hAnsi="Calibri"/>
          <w:b w:val="0"/>
          <w:color w:val="3A4A28"/>
          <w:sz w:val="20"/>
        </w:rPr>
        <w:t>The bear case is that Dow remains a low-quality, cyclically-exposed commodity chemicals producer with negative trailing ROE (-13.82%) and profit margin (-2.35%), a D/E near 108%, and a dividend that was just cut in half and is not currently covered by earnings (payout ratio swung from 402% to negative across recent quarters) [6][7]. The Q2 2026 revenue beat was driven almost entirely by a temporary 40% polyethylene price spike rather than structural share gains or volume growth, and management itself guided to margin compression in Q3 [4]. Path2Zero's Phase 1 startup has already slipped two years to late 2029, and the project's nine-month 2025 pause demonstrates the decarbonization thesis is contingent on near-term economics rather than fixed strategic commitment. Employee reviews citing high turnover and repeated layoffs, combined with a leadership transition to new CEO Karen Carter (effective July 2026), add execution and cultural continuity risk during an already fragile balance-sheet period [5][6].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Sustained polyethylene and commodity chemical pricing recovery translating Q2 2026's 20% revenue growth and $692M free cash flow into a durable earnings inflection rather than a one-quarter spike [4]</w:t>
      </w:r>
    </w:p>
    <w:p>
      <w:pPr>
        <w:spacing w:before="40" w:after="40"/>
        <w:ind w:left="283"/>
      </w:pPr>
      <w:r>
        <w:rPr>
          <w:rFonts w:ascii="Calibri" w:hAnsi="Calibri"/>
          <w:b/>
          <w:color w:val="4A6B25"/>
          <w:sz w:val="20"/>
        </w:rPr>
        <w:t xml:space="preserve">2. </w:t>
      </w:r>
      <w:r>
        <w:rPr>
          <w:rFonts w:ascii="Calibri" w:hAnsi="Calibri"/>
          <w:b w:val="0"/>
          <w:color w:val="3A4A28"/>
          <w:sz w:val="20"/>
        </w:rPr>
        <w:t>Path2Zero Fort Saskatchewan Phase 1 (net-zero ethylene cracker) progressing toward late-2029 startup without further delays, positioning Dow with a structurally advantaged, lower-carbon Americas production base [1][2]</w:t>
      </w:r>
    </w:p>
    <w:p>
      <w:pPr>
        <w:spacing w:before="40" w:after="40"/>
        <w:ind w:left="283"/>
      </w:pPr>
      <w:r>
        <w:rPr>
          <w:rFonts w:ascii="Calibri" w:hAnsi="Calibri"/>
          <w:b/>
          <w:color w:val="4A6B25"/>
          <w:sz w:val="20"/>
        </w:rPr>
        <w:t xml:space="preserve">3. </w:t>
      </w:r>
      <w:r>
        <w:rPr>
          <w:rFonts w:ascii="Calibri" w:hAnsi="Calibri"/>
          <w:b w:val="0"/>
          <w:color w:val="3A4A28"/>
          <w:sz w:val="20"/>
        </w:rPr>
        <w:t>New CEO Karen Carter (effective July 1, 2026) articulating a credible capital allocation and cost discipline plan that restores dividend coverage and rebuilds investor confidence after the 2025 dividend cut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Negative trailing ROE (-13.82%) and profit margin (-2.35%) with an uncovered dividend (payout ratio swinging from 402% to negative across recent quarters) leave limited room for further commodity price weakness before another dividend cut becomes necessary [6][7]</w:t>
      </w:r>
    </w:p>
    <w:p>
      <w:pPr>
        <w:spacing w:before="40" w:after="40"/>
        <w:ind w:left="283"/>
      </w:pPr>
      <w:r>
        <w:rPr>
          <w:rFonts w:ascii="Calibri" w:hAnsi="Calibri"/>
          <w:b/>
          <w:color w:val="4A6B25"/>
          <w:sz w:val="20"/>
        </w:rPr>
        <w:t xml:space="preserve">2. </w:t>
      </w:r>
      <w:r>
        <w:rPr>
          <w:rFonts w:ascii="Calibri" w:hAnsi="Calibri"/>
          <w:b w:val="0"/>
          <w:color w:val="3A4A28"/>
          <w:sz w:val="20"/>
        </w:rPr>
        <w:t>Path2Zero's $7.5B capital commitment during a period of net losses and reduced dividends adds balance-sheet strain, and the project has already been paused once (9 months in 2025) and delayed twice (Phase 1 now late 2029, Phase 2 late 2030) [1][2]</w:t>
      </w:r>
    </w:p>
    <w:p>
      <w:pPr>
        <w:spacing w:before="40" w:after="40"/>
        <w:ind w:left="283"/>
      </w:pPr>
      <w:r>
        <w:rPr>
          <w:rFonts w:ascii="Calibri" w:hAnsi="Calibri"/>
          <w:b/>
          <w:color w:val="4A6B25"/>
          <w:sz w:val="20"/>
        </w:rPr>
        <w:t xml:space="preserve">3. </w:t>
      </w:r>
      <w:r>
        <w:rPr>
          <w:rFonts w:ascii="Calibri" w:hAnsi="Calibri"/>
          <w:b w:val="0"/>
          <w:color w:val="3A4A28"/>
          <w:sz w:val="20"/>
        </w:rPr>
        <w:t>Commodity chemicals remain highly cyclical and price-driven — the 40% polyethylene price surge behind Q2 2026's results could reverse as quickly as it appeared, and Q3 2026 EBITDA guidance of $1.7B (down from $2.3B) already signals sequential margin compression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Dow's core business — manufacturing physical commodity and specialty chemicals (polyethylene, silicones, polyurethanes) — involves capital-intensive, physically regulated manufacturing that AI structurally cannot displace or automate away [4]. AI infrastructure buildout is a net demand tailwind rather than a threat: Dow markets DOWSIL immersion-cooling fluids and thermal management materials specifically for AI data centers, meaning the AI boom increases demand for Dow's outputs rather than substituting for them [3]. Analysts have not flagged AI substitution risk for bulk/specialty chemicals production. AI Opportunity (0/1): While Dow showcased AI-data-center-oriented cooling fluids at COMPUTEX Taipei 2026, no specific revenue figures or percentage contribution from AI-related products were disclosed, so this remains an emerging rather than quantified revenue stream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Dow Reports Second Quarter 2026 Results — PR Newswire, July 2026</w:t>
      </w:r>
    </w:p>
    <w:p>
      <w:pPr>
        <w:spacing w:before="20" w:after="20"/>
        <w:ind w:left="170"/>
      </w:pPr>
      <w:r>
        <w:rPr>
          <w:rFonts w:ascii="Calibri" w:hAnsi="Calibri"/>
          <w:b/>
          <w:color w:val="4A6B25"/>
          <w:sz w:val="15"/>
        </w:rPr>
        <w:t xml:space="preserve">2. </w:t>
      </w:r>
      <w:r>
        <w:rPr>
          <w:rFonts w:ascii="Calibri" w:hAnsi="Calibri"/>
          <w:b w:val="0"/>
          <w:color w:val="3A4A28"/>
          <w:sz w:val="17"/>
        </w:rPr>
        <w:t>Dow's Board of Directors Approves Final Investment Decision / Path2Zero Restart and 2029 Phase 1 Startup — ICIS, Hydrocarbon Processing, Oil &amp; Gas Journal, January-February 2026</w:t>
      </w:r>
    </w:p>
    <w:p>
      <w:pPr>
        <w:spacing w:before="20" w:after="20"/>
        <w:ind w:left="170"/>
      </w:pPr>
      <w:r>
        <w:rPr>
          <w:rFonts w:ascii="Calibri" w:hAnsi="Calibri"/>
          <w:b/>
          <w:color w:val="4A6B25"/>
          <w:sz w:val="15"/>
        </w:rPr>
        <w:t xml:space="preserve">3. </w:t>
      </w:r>
      <w:r>
        <w:rPr>
          <w:rFonts w:ascii="Calibri" w:hAnsi="Calibri"/>
          <w:b w:val="0"/>
          <w:color w:val="3A4A28"/>
          <w:sz w:val="17"/>
        </w:rPr>
        <w:t>Dow Features Next-Gen AI Thermal Technologies at COMPUTEX Taipei — Yahoo Finance, 2026</w:t>
      </w:r>
    </w:p>
    <w:p>
      <w:pPr>
        <w:spacing w:before="20" w:after="20"/>
        <w:ind w:left="170"/>
      </w:pPr>
      <w:r>
        <w:rPr>
          <w:rFonts w:ascii="Calibri" w:hAnsi="Calibri"/>
          <w:b/>
          <w:color w:val="4A6B25"/>
          <w:sz w:val="15"/>
        </w:rPr>
        <w:t xml:space="preserve">4. </w:t>
      </w:r>
      <w:r>
        <w:rPr>
          <w:rFonts w:ascii="Calibri" w:hAnsi="Calibri"/>
          <w:b w:val="0"/>
          <w:color w:val="3A4A28"/>
          <w:sz w:val="17"/>
        </w:rPr>
        <w:t>Dow (DOW) Q2 FY2026 Earnings Call Transcript and Revenue History — Yahoo Finance, StockTitan, Simply Wall St, Macrotrends,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Dow Reviews — Glassdoor, accessed August 2026</w:t>
      </w:r>
    </w:p>
    <w:p>
      <w:pPr>
        <w:spacing w:before="20" w:after="20"/>
        <w:ind w:left="170"/>
      </w:pPr>
      <w:r>
        <w:rPr>
          <w:rFonts w:ascii="Calibri" w:hAnsi="Calibri"/>
          <w:b/>
          <w:color w:val="4A6B25"/>
          <w:sz w:val="15"/>
        </w:rPr>
        <w:t xml:space="preserve">6. </w:t>
      </w:r>
      <w:r>
        <w:rPr>
          <w:rFonts w:ascii="Calibri" w:hAnsi="Calibri"/>
          <w:b w:val="0"/>
          <w:color w:val="3A4A28"/>
          <w:sz w:val="17"/>
        </w:rPr>
        <w:t>Dow (DOW) Statistics, Valuation, Debt-to-Equity, Forward P/E — StockAnalysis.com, GuruFocus, accessed August 2026</w:t>
      </w:r>
    </w:p>
    <w:p>
      <w:pPr>
        <w:spacing w:before="20" w:after="20"/>
        <w:ind w:left="170"/>
      </w:pPr>
      <w:r>
        <w:rPr>
          <w:rFonts w:ascii="Calibri" w:hAnsi="Calibri"/>
          <w:b/>
          <w:color w:val="4A6B25"/>
          <w:sz w:val="15"/>
        </w:rPr>
        <w:t xml:space="preserve">7. </w:t>
      </w:r>
      <w:r>
        <w:rPr>
          <w:rFonts w:ascii="Calibri" w:hAnsi="Calibri"/>
          <w:b w:val="0"/>
          <w:color w:val="3A4A28"/>
          <w:sz w:val="17"/>
        </w:rPr>
        <w:t>Dow Declares Quarterly Dividend of 35 Cents Per Share; Dividend Cut History — PR Newswire, TIKR, DividendMax, August 2026</w:t>
      </w:r>
    </w:p>
    <w:p>
      <w:pPr>
        <w:spacing w:before="20" w:after="20"/>
        <w:ind w:left="170"/>
      </w:pPr>
      <w:r>
        <w:rPr>
          <w:rFonts w:ascii="Calibri" w:hAnsi="Calibri"/>
          <w:b/>
          <w:color w:val="4A6B25"/>
          <w:sz w:val="15"/>
        </w:rPr>
        <w:t xml:space="preserve">8. </w:t>
      </w:r>
      <w:r>
        <w:rPr>
          <w:rFonts w:ascii="Calibri" w:hAnsi="Calibri"/>
          <w:b w:val="0"/>
          <w:color w:val="3A4A28"/>
          <w:sz w:val="17"/>
        </w:rPr>
        <w:t>Dow Chair and CEO Jim Fitterling to Become Executive Chair; Karen S. Carter Appointed CEO — Dow Corporate Press Release,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