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DT</w:t>
      </w:r>
      <w:r>
        <w:rPr>
          <w:rFonts w:ascii="Calibri" w:hAnsi="Calibri"/>
          <w:b/>
          <w:color w:val="1A2010"/>
          <w:sz w:val="40"/>
        </w:rPr>
        <w:t xml:space="preserve">  Dynatrace, Inc.</w:t>
      </w:r>
    </w:p>
    <w:p>
      <w:pPr>
        <w:spacing w:after="120"/>
      </w:pPr>
      <w:r>
        <w:rPr>
          <w:rFonts w:ascii="Calibri" w:hAnsi="Calibri"/>
          <w:b/>
          <w:color w:val="6E8450"/>
          <w:sz w:val="18"/>
        </w:rPr>
        <w:t>GROWTH SLEEVE · 2026-08-22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Dynatrace provides an AI-powered software intelligence platform for unified observability, security, and business analytics. The platform delivers automatic discovery, full-stack monitoring, and AI-driven root-cause analysis across hybrid and multi-cloud environments. The company surpassed $2B ARR in FY2026 with 19% revenue growth to $2.02B, serving enterprise customers across cloud-native and legacy IT estates. Market cap is approximately $14.3B.</w:t>
      </w:r>
    </w:p>
    <w:p>
      <w:r>
        <w:rPr>
          <w:rFonts w:ascii="Calibri" w:hAnsi="Calibri"/>
          <w:b/>
          <w:color w:val="6E8450"/>
          <w:sz w:val="18"/>
        </w:rPr>
        <w:t>5,600 Employees · https://www.dynatrace.com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Dynatrace has executed a successful multi-year transformation from legacy APM to a unified observability platform. The Grail data lakehouse engine launched in 2023 expanded the company into log management and analytics, opening a $30B+ TAM beyond its traditional APM roots [1]. The platform now spans observability, security, and business analytics — a significant pivot from the single-product company of five years ago. AI Deployment (2/2): Dynatrace Intelligence, unveiled in Q3 FY2026, is an agentic AI-powered operations system combining deterministic and generative AI to deliver autonomous enterprise actions at scale [2]. The Davis AI engine has been a core differentiator for years, and the company is now shipping domain-specific AI agents for SRE and development teams with measurable customer adoption. Market Share (1/2): Dynatrace is a recognized leader in the Gartner Magic Quadrant for APM and Observability, competing with Datadog, Splunk (Cisco), and New Relic. While not the largest by revenue (Datadog leads in growth), Dynatrace commands premium pricing and has a strong enterprise position with a record 22 deals &gt;$1M ACV in Q4 FY2026 [1]. Product Pipeline (1/2): The company has articulated a clear roadmap for agentic AI expansion and cloud-native observability, though specific next-gen product launch dates with revenue visibility are limited beyond general platform evolution. R&amp;D Intensity (1/1): R&amp;D spending is above industry average for enterprise software companies, reflecting substantial investment in the Davis AI engine, Grail, and platform unification.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Dynatrace's purpose — enabling organizations to 'master the complexity of the cloud' — is clear and specific but not deeply inspiring or transformative. It articulates what the company does well but doesn't connect to a larger societal purpose that transcends the product. Community Impact (1/2): Dynatrace published its inaugural Global Impact Report with ESG pillars covering environment, people/culture/community, and governance/ethics [3]. The company has corporate social responsibility programs, though specific dollar amounts and distinctive community investment are not prominently disclosed. Employee Retention (1/2): Dynatrace was recognized by Glassdoor as one of the 50 best-led organizations in the US, and leadership invests in people development [4]. However, recent Glassdoor reviews cite concerns about increasing hierarchy, disconnect between product direction and customer needs, and 'atrocious' internal AI adoption — suggesting cultural challenges beneath the surface. Insider Buying (1/2): CEO Rick McConnell has been a consistent net seller under 10b5-1 plans, selling $2.1M-$2.5M in shares across multiple transactions in 2025-2026 [5]. While these are prearranged sales, there is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Dynatrace's balance sheet is exceptionally clean with D/E of just 6%, far below the 70% target, and net cash of $997M against $159M debt [1]. Revenue growth of 19% YoY and an estimated 22% 5-year CAGR both exceed the 10% targets, scoring perfectly on growth dimensions. Forward P/E of 24.09x is modestly above the 20x target but well below the 60x floor. The primary drags are GAAP profit margin of 7.22% (well below the 20% target due to heavy stock-based compensation) and ROE of 5.88% (below the 15% target, weighted 2x for growth stocks). PEG of 1.56 scores moderately against the 1.0 target with 2x weight. Free cash flow of $529M (26% FCF margin) demonstrates strong cash generation despite the low GAAP profitability. Daily trading volume of ~6.7M shares at $49.30 clears the liquidity floor easily at $330M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Dynatrace demonstrates a mixed infinite game posture. The company has a clear technical vision and has successfully pivoted from legacy APM to a unified observability platform, showing existential flexibility. CEO Rick McConnell brings a growth-oriented mindset from Akamai and Cisco. However, the company's purpose is product-centric rather than cause-driven, and recent employee feedback suggests increasing hierarchy and top-down decision-making that conflicts with Sinek's trust-based leadership model. The $1B share buyback program prioritizes financial engineering over investment in the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Dynatrace exists to 'master the complexity of the cloud' for enterprises — a clear product purpose but not a Just Cause in Sinek's definition. The vision is tied to a specific technology era (cloud computing) rather than an enduring, idealistic future state that transcends products. Leadership references it in product decisions, but it doesn't shape broader societal impact or inspire sacrifice. The purpose is interchangeable with several observability peers.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Dynatrace earned Glassdoor recognition as a top-50 best-led organization, and CTO Alex Scheran has shaped engineering culture since 2005, providing leadership continuity [4]. However, recent employee reviews cite increasing hierarchy, limited bottom-up feedback, and a disconnect between product direction and customer needs. Internal AI adoption was described as 'atrocious' despite the company selling AI products externally — suggesting a gap between what leadership preaches and what employees experience. The culture appears adequate but not high-trust.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Dynatrace explicitly acknowledges Datadog's strengths in cloud-native monitoring and developer adoption, positioning its own response as deepening enterprise capabilities rather than mimicking the competitor. The competitive language in earnings calls focuses on differentiation and customer value rather than 'beating' rivals. The decision to build Grail was inspired by competitive pressure from Splunk and Datadog in log analytics — using rivals' strengths to identify its own gaps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Dynatrace has evolved significantly from its legacy APM origins (Compuware era) to a modern SaaS observability platform, including the Grail data lakehouse pivot that expanded its addressable market substantially [1]. This was a meaningful business model transformation — from perpetual licenses to SaaS, from narrow APM to unified observability. However, the transformation was incremental over many years rather than a single bold bet, and it was partly driven by market necessity rather than cause-driven conviction.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Dynatrace made the courageous decision to invest heavily in building the Grail data lakehouse from scratch rather than acquiring existing log analytics technology — a multi-year R&amp;D commitment that delayed near-term revenue growth in exchange for long-term platform differentiation [2]. The company also maintained premium pricing and refused to compete on price against cheaper alternatives, prioritizing product quality over market share. However, the $1B share buyback suggests capital allocation leans toward financial engineering over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Dynatrace at 24x forward earnings offers a durable growth compounder in enterprise observability with best-in-class unit economics. FY2026 revenue of $2.02B (+19% YoY) with 29% non-GAAP operating margins and $529M FCF demonstrates the subscription flywheel is working — the company converts nearly half of incremental revenue to free cash flow [1]. The $2B+ ARR milestone with 16% constant-currency growth through four consecutive quarters validates sustainable demand, not one-time tailwinds. The Grail data lakehouse and Dynatrace Intelligence agentic AI platform expand TAM from ~$15B (APM) to $30B+ (unified observability, security, business analytics), with a record 22 deals &gt;$1M ACV in Q4 signaling enterprise customers are consolidating onto the platform [2]. FY2027 guidance of $2.32-$2.34B revenue (+14-15%) with $613-$620M FCF provides visibility into continued compounding.</w:t>
      </w:r>
    </w:p>
    <w:p>
      <w:pPr>
        <w:spacing w:after="120"/>
      </w:pPr>
      <w:r>
        <w:rPr>
          <w:rFonts w:ascii="Calibri" w:hAnsi="Calibri"/>
          <w:b w:val="0"/>
          <w:color w:val="3A4A28"/>
          <w:sz w:val="20"/>
        </w:rPr>
        <w:t>The bear case centers on decelerating growth, competitive pressure, and AI disruption risk. FY2027 revenue guidance of 14-15% growth represents a deceleration from the 19% achieved in FY2026, and forward estimates may already price in this trajectory at 24x forward earnings [1]. Datadog continues to gain share in cloud-native monitoring with a faster growth rate and broader developer adoption, while Cisco's Splunk acquisition creates a formidable enterprise competitor with distribution advantages. The observability market faces commoditization pressure as OpenTelemetry standards reduce data collection switching costs. GAAP profitability remains weak at 7.2% profit margin due to heavy stock-based compensation (~$350M annually), which dilutes shareholders despite the $1B buyback program. ROE of 5.88% is poor for a software company and reflects the large intangible asset base from the Thoma Bravo-era leveraged buyout. CEO McConnell is a capable operator but consistent insider selling (~$2M+ per quarter) does not signal deep personal conviction in the equity story [5]. AI is both opportunity and threat — while Dynatrace builds AI products, AI could also automate the monitoring tasks that customers pay Dynatrace to solve.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Dynatrace Intelligence agentic AI platform driving incremental ACV as enterprises adopt autonomous IT operations — a record 22 deals &gt;$1M ACV in Q4 FY2026 suggests momentum in large-deal closures [1]</w:t>
      </w:r>
    </w:p>
    <w:p>
      <w:pPr>
        <w:spacing w:before="40" w:after="40"/>
        <w:ind w:left="283"/>
      </w:pPr>
      <w:r>
        <w:rPr>
          <w:rFonts w:ascii="Calibri" w:hAnsi="Calibri"/>
          <w:b/>
          <w:color w:val="4A6B25"/>
          <w:sz w:val="20"/>
        </w:rPr>
        <w:t xml:space="preserve">2. </w:t>
      </w:r>
      <w:r>
        <w:rPr>
          <w:rFonts w:ascii="Calibri" w:hAnsi="Calibri"/>
          <w:b w:val="0"/>
          <w:color w:val="3A4A28"/>
          <w:sz w:val="20"/>
        </w:rPr>
        <w:t>Grail data lakehouse maturation enabling log management and security analytics cross-sells, expanding average deal sizes and reducing competitive displacement risk from Splunk/Datadog [2]</w:t>
      </w:r>
    </w:p>
    <w:p>
      <w:pPr>
        <w:spacing w:before="40" w:after="40"/>
        <w:ind w:left="283"/>
      </w:pPr>
      <w:r>
        <w:rPr>
          <w:rFonts w:ascii="Calibri" w:hAnsi="Calibri"/>
          <w:b/>
          <w:color w:val="4A6B25"/>
          <w:sz w:val="20"/>
        </w:rPr>
        <w:t xml:space="preserve">3. </w:t>
      </w:r>
      <w:r>
        <w:rPr>
          <w:rFonts w:ascii="Calibri" w:hAnsi="Calibri"/>
          <w:b w:val="0"/>
          <w:color w:val="3A4A28"/>
          <w:sz w:val="20"/>
        </w:rPr>
        <w:t>FY2027 FCF guidance of $613-$620M (+16-17% growth) funding continued share repurchases under the new $1B buyback authorization, providing EPS accretion even if revenue growth moderates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19% (FY2026) to guided 14-15% (FY2027) may compress valuation multiples if the market reprices DT from a high-growth SaaS name to a mid-teens grower [1]</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as LLM-powered observability tools and AI copilots could commoditize incident detection and root-cause analysis — Dynatrace's core value proposition — with open-source alternatives gaining traction [2]</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drag from ~$350M annual stock-based compensation undermines the free cash flow narrative, and consistent insider selling by CEO McConnell ($2M+ per quarter) weakens management conviction signals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Dynatrace operates in the observability and monitoring space, which faces meaningful AI disruption risk from multiple angles. AI-native monitoring tools and large language models could automate incident detection and root-cause analysis — capabilities that are Dynatrace's core value proposition [2]. Competitors like Datadog are aggressively integrating AI, and open-source observability tools (OpenTelemetry) reduce switching costs. However, Dynatrace's proprietary topology mapping, the Davis AI engine's deterministic approach, and deep enterprise integrations create meaningful switching costs. The complexity of enterprise IT estates means AI copilots cannot easily replace full-stack observability platforms. Regulatory compliance requirements in financial services and healthcare also protect the incumbent position. AI Opportunity (1/1): Dynatrace generates meaningful AI-embedded revenue through its Davis AI engine and the new Dynatrace Intelligence agentic AI platform. The company reported a record 22 deals &gt;$1M ACV in Q4, many driven by AI-powered automation capabilities [1]. AI is both a product differentiator and a revenue driver, not merely an internal efficiency tool.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Dynatrace Q4/FY2026 Earnings Release — Revenue $2.02B (+19%), ARR $2.0B+, Non-GAAP Op Margin 29%, FCF $529M, Record 22 deals &gt;$1M ACV, May 2026</w:t>
      </w:r>
    </w:p>
    <w:p>
      <w:pPr>
        <w:spacing w:before="20" w:after="20"/>
        <w:ind w:left="170"/>
      </w:pPr>
      <w:r>
        <w:rPr>
          <w:rFonts w:ascii="Calibri" w:hAnsi="Calibri"/>
          <w:b/>
          <w:color w:val="4A6B25"/>
          <w:sz w:val="15"/>
        </w:rPr>
        <w:t xml:space="preserve">2. </w:t>
      </w:r>
      <w:r>
        <w:rPr>
          <w:rFonts w:ascii="Calibri" w:hAnsi="Calibri"/>
          <w:b w:val="0"/>
          <w:color w:val="3A4A28"/>
          <w:sz w:val="17"/>
        </w:rPr>
        <w:t>Dynatrace Q3 FY2026 Earnings Release — ARR $1,972M (+20%), Revenue $515M (+18%), Dynatrace Intelligence Agentic AI Launch, $1B Buyback Authorization, January 2026</w:t>
      </w:r>
    </w:p>
    <w:p>
      <w:pPr>
        <w:spacing w:before="20" w:after="20"/>
        <w:ind w:left="170"/>
      </w:pPr>
      <w:r>
        <w:rPr>
          <w:rFonts w:ascii="Calibri" w:hAnsi="Calibri"/>
          <w:b/>
          <w:color w:val="4A6B25"/>
          <w:sz w:val="15"/>
        </w:rPr>
        <w:t xml:space="preserve">3. </w:t>
      </w:r>
      <w:r>
        <w:rPr>
          <w:rFonts w:ascii="Calibri" w:hAnsi="Calibri"/>
          <w:b w:val="0"/>
          <w:color w:val="3A4A28"/>
          <w:sz w:val="17"/>
        </w:rPr>
        <w:t>Dynatrace Inaugural Global Impact Report — ESG Pillars: Environment, People/Culture/Community, Governance/Ethics, 2024</w:t>
      </w:r>
    </w:p>
    <w:p>
      <w:pPr>
        <w:spacing w:before="20" w:after="20"/>
        <w:ind w:left="170"/>
      </w:pPr>
      <w:r>
        <w:rPr>
          <w:rFonts w:ascii="Calibri" w:hAnsi="Calibri"/>
          <w:b/>
          <w:color w:val="4A6B25"/>
          <w:sz w:val="15"/>
        </w:rPr>
        <w:t xml:space="preserve">4. </w:t>
      </w:r>
      <w:r>
        <w:rPr>
          <w:rFonts w:ascii="Calibri" w:hAnsi="Calibri"/>
          <w:b w:val="0"/>
          <w:color w:val="3A4A28"/>
          <w:sz w:val="17"/>
        </w:rPr>
        <w:t>Dynatrace Leadership and Culture — Glassdoor Top 50 Best-Led Organizations, Built In Innovation Culture Profile, Employee Reviews 2025-2026</w:t>
      </w:r>
    </w:p>
    <w:p>
      <w:pPr>
        <w:spacing w:before="20" w:after="20"/>
        <w:ind w:left="170"/>
      </w:pPr>
      <w:r>
        <w:rPr>
          <w:rFonts w:ascii="Calibri" w:hAnsi="Calibri"/>
          <w:b/>
          <w:color w:val="4A6B25"/>
          <w:sz w:val="15"/>
        </w:rPr>
        <w:t xml:space="preserve">5. </w:t>
      </w:r>
      <w:r>
        <w:rPr>
          <w:rFonts w:ascii="Calibri" w:hAnsi="Calibri"/>
          <w:b w:val="0"/>
          <w:color w:val="3A4A28"/>
          <w:sz w:val="17"/>
        </w:rPr>
        <w:t>Dynatrace Insider Trading — CEO Rick McConnell 10b5-1 Plan Sales: $2.12M (May 2026), $2.46M (Feb 2025), $2.4M (2025), Investing.com/TipRanks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