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GORO</w:t>
      </w:r>
      <w:r>
        <w:rPr>
          <w:rFonts w:ascii="Calibri" w:hAnsi="Calibri"/>
          <w:b/>
          <w:color w:val="1A2010"/>
          <w:sz w:val="40"/>
        </w:rPr>
        <w:t xml:space="preserve">  Goldgroup Mining Inc. (formerly Gold Resource Corporation)</w:t>
      </w:r>
    </w:p>
    <w:p>
      <w:pPr>
        <w:spacing w:after="120"/>
      </w:pPr>
      <w:r>
        <w:rPr>
          <w:rFonts w:ascii="Calibri" w:hAnsi="Calibri"/>
          <w:b/>
          <w:color w:val="6E8450"/>
          <w:sz w:val="18"/>
        </w:rPr>
        <w:t>GROWTH SLEEVE · 2026-08-24 · Inspire: 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&amp; Silver Mining · NYSE American · United States</w:t>
      </w:r>
    </w:p>
    <w:p>
      <w:pPr>
        <w:spacing w:after="80"/>
      </w:pPr>
      <w:r>
        <w:rPr>
          <w:rFonts w:ascii="Calibri" w:hAnsi="Calibri"/>
          <w:b w:val="0"/>
          <w:color w:val="3A4A28"/>
          <w:sz w:val="20"/>
        </w:rPr>
        <w:t>Goldgroup Mining Inc. completed its business combination with Gold Resource Corporation on July 17, 2026, creating a multi-asset, Mexican-focused precious metals producer combining Gold Resource's Don David gold-silver mine in Oaxaca with Goldgroup's Cerro Prieto mine in Sonora. Gold Resource shares were converted at a 1.4476 ratio into Goldgroup shares, GRC was delisted from NYSE American around July 20, 2026, and the combined company now trades under the legacy ticker 'GORO.' Gold Resource posted its first positive net income since 2021 in Q1 2026, and management targets a pro forma production run rate exceeding 100,000 gold-equivalent ounces within 12 months of the merger closing.</w:t>
      </w:r>
    </w:p>
    <w:p>
      <w:r>
        <w:rPr>
          <w:rFonts w:ascii="Calibri" w:hAnsi="Calibri"/>
          <w:b/>
          <w:color w:val="6E8450"/>
          <w:sz w:val="18"/>
        </w:rPr>
        <w:t>900 Employees · https://goldresourcecorp.com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Goldgroup-Gold Resource merger (closed July 17, 2026) consolidated Sonora and Oaxaca operations into a single Mexican precious-metals platform, coinciding with an operational turnaround — Q1 2026 gold volumes rose 126% YoY and silver 54%, and the company posted its first positive net income since 2021 [1][2]. AI Deployment (0/2): No evidence of AI-powered products or quantified AI-driven efficiency gains was found — typical for a small underground gold/silver operator. Market Share (0/2): GORO is a junior producer with two production-stage properties; no evidence of category leadership or share gains was found. Product Pipeline (1/2): Management has guided to a specific pro forma production run rate exceeding 100,000 AuEq ounces within 12 months of the merger close, giving some forward visibility, though without a detailed multi-year project pipeline [1]. R&amp;D Intensity (0/1): Not meaningfully applicable/no data disclosed for this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company describes a 'holistic approach' to safety, community relations, environmental stewardship, operational excellence, and organic growth at its Oaxaca operations — clear and specific to the business, but not a transformative, decades-validated cause [3]. Community Impact (2/2): The Don David Gold Mine earned the 'Empresa Socialmente Responsable' (Socially Responsible Company) award from the Mexican Center for Philanthropy for seven consecutive years (through 2021), a distinctive, named recognition of sustained community investment in its Oaxaca operating region [3]. Employee Retention (0/2): No turnover, tenure, or retention data was found. Insider Buying (0/2): No net insider buying/selling data was found for the newly combined entity.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PEG and 5yr revenue CAGR unavailable and excluded, the latter because the 2025 operational turnaround makes historical trend not representative). Legacy Gold Resource Corp reported 2025 revenue of $99.76M, up 51.78% YoY, scoring at the capped maximum, and carries zero reported debt (D/E of 0%), also capping at maximum [4]. ROE of 17.98% clears the 15% target and Forward P/E of 19.95 sits just inside the 20 target, both near-maximum scores. The lone drag is profit margin of 5.02%, which is well below the 20% target though positive — a marked improvement from the company's prior net-loss years (2025 net loss narrowed 88.57% YoY) [4]. Liquidity is not a constraint: even using the conservative pre-merger average volume of ~6.0M shares/day at the current ~$2.19 share price, daily dollar volume is well above the $1M floor. Note: these metrics reflect legacy Gold Resource Corp's stand-alone 2025 results; combined pro forma financials incorporating Goldgroup's Cerro Prieto operations were not yet 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The Gold Resource / Goldgroup combination shows real courage in executing a difficult operational turnaround and consolidating merger, and the seven-year run of Socially Responsible Company recognition in Oaxaca is genuine, concrete community evidence. But the underlying cause is narrow (extraction of a finite commodity resource) rather than a big, idealistic Just Cause, and available research surfaced no evidence of a distinctive culture, competitive philosophy, or business-model reinvention beyond the recent merger — placing this squarely as a finite, execution-focused operator rather than an infinite-game company.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community-relations and responsible-mining framing at Don David is genuine and locally evidenced (seven consecutive CSR awards), but the underlying business — extracting a finite gold/silver resource — does not articulate a resilient, big, service-oriented cause beyond responsible operation of a commodity mine; no evidence was found of this purpose surviving a full leadership transition or being cited as a strategic decision driver at the corporate level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layoff, turnover, or major cultural controversy was found in research, and the multi-year community-relations track record suggests organizational stability at the mine-site level, but no specific employee tenure, retention, or empowerment data was available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the company publicly framing competitors in the Mexican gold/silver mining space as worthy rivals or referencing competitive dynamics as a driver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Goldgroup merger diversified the company from a single-region (Oaxaca) operator into a two-region (Oaxaca and Sonora) Mexican precious metals platform — a real but incremental adjacent-market expansion via M&amp;A rather than a full business-model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executed a difficult operational turnaround — narrowing net losses 88.57% and returning to positive net income in Q1 2026 for the first time since 2021 — while simultaneously completing a complex merger to diversify the asset base, evidence of committing to a multi-year capability rebuild rather than short-term financial engineering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 Resource Corporation delivered a genuine operational turnaround in 2025-2026 — 2025 revenue grew 51.78% to $99.76M with the net loss narrowing 88.57%, and Q1 2026 marked the company's first positive net income since 2021 on gold volumes up 126% YoY and silver up 54% [1][4]. The July 17, 2026 merger with Goldgroup Mining combines the Don David mine (Oaxaca) with Goldgroup's Cerro Prieto mine (Sonora) into a single Mexican-focused precious metals platform, with management targeting a pro forma production run rate above 100,000 gold-equivalent ounces within 12 months [1][2]. Zero reported debt (D/E of 0%), ROE of 17.98%, and a Forward P/E near 20x reflect a balance sheet and valuation that have meaningfully de-risked alongside rising gold and silver prices, and the Oaxaca operations carry a rare seven-year run of 'Empresa Socialmente Responsable' recognition for community relations [3].</w:t>
      </w:r>
    </w:p>
    <w:p>
      <w:pPr>
        <w:spacing w:after="120"/>
      </w:pPr>
      <w:r>
        <w:rPr>
          <w:rFonts w:ascii="Calibri" w:hAnsi="Calibri"/>
          <w:b w:val="0"/>
          <w:color w:val="3A4A28"/>
          <w:sz w:val="20"/>
        </w:rPr>
        <w:t>The bear case centers on integration risk and thin profitability: profit margin of only 5.02% leaves little cushion if gold/silver prices retreat or if the newly combined Sonora-Oaxaca operations face integration friction, cost overruns, or the kind of adverse weather and aging-fleet issues that hurt 2024 results [4]. The stock's ticker and share count were freshly reconstituted by the merger (1.4476 conversion ratio, GRC delisted, Goldgroup now trading as GORO), so historical metrics reflect the legacy stand-alone entity rather than fully combined pro forma financials, adding near-term data uncertainty for investors [2]. As a small-cap junior producer with no AI revenue optionality and a narrow, single-commodity Just Cause, GORO's re-rating potential depends almost entirely on continued execution and commodity price tailwinds rather than a durable structural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the pro forma production run rate target of over 100,000 gold-equivalent ounces within 12 months of the July 17, 2026 merger close, which would validate the combined-entity thesis [1]</w:t>
      </w:r>
    </w:p>
    <w:p>
      <w:pPr>
        <w:spacing w:before="40" w:after="40"/>
        <w:ind w:left="283"/>
      </w:pPr>
      <w:r>
        <w:rPr>
          <w:rFonts w:ascii="Calibri" w:hAnsi="Calibri"/>
          <w:b/>
          <w:color w:val="4A6B25"/>
          <w:sz w:val="20"/>
        </w:rPr>
        <w:t xml:space="preserve">2. </w:t>
      </w:r>
      <w:r>
        <w:rPr>
          <w:rFonts w:ascii="Calibri" w:hAnsi="Calibri"/>
          <w:b w:val="0"/>
          <w:color w:val="3A4A28"/>
          <w:sz w:val="20"/>
        </w:rPr>
        <w:t>Continued momentum in gold and silver prices supporting margin expansion on top of the 2025 operational turnaround (51.78% revenue growth, net loss narrowed 88.57%) [4]</w:t>
      </w:r>
    </w:p>
    <w:p>
      <w:pPr>
        <w:spacing w:before="40" w:after="40"/>
        <w:ind w:left="283"/>
      </w:pPr>
      <w:r>
        <w:rPr>
          <w:rFonts w:ascii="Calibri" w:hAnsi="Calibri"/>
          <w:b/>
          <w:color w:val="4A6B25"/>
          <w:sz w:val="20"/>
        </w:rPr>
        <w:t xml:space="preserve">3. </w:t>
      </w:r>
      <w:r>
        <w:rPr>
          <w:rFonts w:ascii="Calibri" w:hAnsi="Calibri"/>
          <w:b w:val="0"/>
          <w:color w:val="3A4A28"/>
          <w:sz w:val="20"/>
        </w:rPr>
        <w:t>Successful integration of Cerro Prieto (Sonora) processing capacity upgrades alongside Don David underground output, diversifying production away from single-mine concentration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profit margin (5.02%) leaves limited cushion against a pullback in gold/silver prices or renewed cost inflation, given the company's 2024 history of weather- and aging-fleet-driven production shortfalls [4]</w:t>
      </w:r>
    </w:p>
    <w:p>
      <w:pPr>
        <w:spacing w:before="40" w:after="40"/>
        <w:ind w:left="283"/>
      </w:pPr>
      <w:r>
        <w:rPr>
          <w:rFonts w:ascii="Calibri" w:hAnsi="Calibri"/>
          <w:b/>
          <w:color w:val="4A6B25"/>
          <w:sz w:val="20"/>
        </w:rPr>
        <w:t xml:space="preserve">2. </w:t>
      </w:r>
      <w:r>
        <w:rPr>
          <w:rFonts w:ascii="Calibri" w:hAnsi="Calibri"/>
          <w:b w:val="0"/>
          <w:color w:val="3A4A28"/>
          <w:sz w:val="20"/>
        </w:rPr>
        <w:t>Merger integration risk: combining Don David (Oaxaca) and Cerro Prieto (Sonora) operations under a reconstituted share structure introduces execution and reporting uncertainty until fully combined financials are published [1][2]</w:t>
      </w:r>
    </w:p>
    <w:p>
      <w:pPr>
        <w:spacing w:before="40" w:after="40"/>
        <w:ind w:left="283"/>
      </w:pPr>
      <w:r>
        <w:rPr>
          <w:rFonts w:ascii="Calibri" w:hAnsi="Calibri"/>
          <w:b/>
          <w:color w:val="4A6B25"/>
          <w:sz w:val="20"/>
        </w:rPr>
        <w:t xml:space="preserve">3. </w:t>
      </w:r>
      <w:r>
        <w:rPr>
          <w:rFonts w:ascii="Calibri" w:hAnsi="Calibri"/>
          <w:b w:val="0"/>
          <w:color w:val="3A4A28"/>
          <w:sz w:val="20"/>
        </w:rPr>
        <w:t>Single-commodity, Mexico-concentrated operating base exposes the company to jurisdictional permitting, community relations, and regulatory risk despite the company's strong CSR track record at Don David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Underground gold and silver extraction, processing, and Mexican regulatory/permitting compliance are physical-world, capital-intensive operations that AI cannot substitute or disintermediate — ore bodies must still be physically mined, milled, and refined regardless of software advances [1][2]. If anything, AI-driven demand for data center power and electronics manufacturing modestly supports silver demand as an industrial input. AI Opportunity (0/1): No evidence of AI-related revenue generation was found; this is a traditional extraction business with no AI product or service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 Resource Corporation Announces First Quarter 2026 Results and Strong Preliminary Year-End 2025 Results — Yahoo Finance, BusinessWire, 2026</w:t>
      </w:r>
    </w:p>
    <w:p>
      <w:pPr>
        <w:spacing w:before="20" w:after="20"/>
        <w:ind w:left="170"/>
      </w:pPr>
      <w:r>
        <w:rPr>
          <w:rFonts w:ascii="Calibri" w:hAnsi="Calibri"/>
          <w:b/>
          <w:color w:val="4A6B25"/>
          <w:sz w:val="15"/>
        </w:rPr>
        <w:t xml:space="preserve">2. </w:t>
      </w:r>
      <w:r>
        <w:rPr>
          <w:rFonts w:ascii="Calibri" w:hAnsi="Calibri"/>
          <w:b w:val="0"/>
          <w:color w:val="3A4A28"/>
          <w:sz w:val="17"/>
        </w:rPr>
        <w:t>Goldgroup Completes Merger With Gold Resource; Goldgroup Trading as GORO on NYSE American — Mexico Business News, StockTitan, BusinessWire, July 2026</w:t>
      </w:r>
    </w:p>
    <w:p>
      <w:pPr>
        <w:spacing w:before="20" w:after="20"/>
        <w:ind w:left="170"/>
      </w:pPr>
      <w:r>
        <w:rPr>
          <w:rFonts w:ascii="Calibri" w:hAnsi="Calibri"/>
          <w:b/>
          <w:color w:val="4A6B25"/>
          <w:sz w:val="15"/>
        </w:rPr>
        <w:t xml:space="preserve">3. </w:t>
      </w:r>
      <w:r>
        <w:rPr>
          <w:rFonts w:ascii="Calibri" w:hAnsi="Calibri"/>
          <w:b w:val="0"/>
          <w:color w:val="3A4A28"/>
          <w:sz w:val="17"/>
        </w:rPr>
        <w:t>Gold Resource Corporation Don David Gold Mine History, Community Relations, and Empresa Socialmente Responsable Recognition — goldresourcecorp.com,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GORO Key Statistics: 2025 Revenue $99.76M (+51.78%), Forward P/E 19.95, ROE 17.98%, Profit Margin 5.02%, D/E 0%,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GORO Stock Price and Market Cap Post-Merger ($2.19, ~$164.3M market cap) — StockTitan,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