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HBAN</w:t>
      </w:r>
      <w:r>
        <w:rPr>
          <w:rFonts w:ascii="Calibri" w:hAnsi="Calibri"/>
          <w:b/>
          <w:color w:val="1A2010"/>
          <w:sz w:val="40"/>
        </w:rPr>
        <w:t xml:space="preserve">  Huntington Bancshares Incorporated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2026-10-03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Regional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Huntington Bancshares is a Columbus, Ohio-based regional bank holding company offering consumer, small business, commercial, wealth and payments services across the Midwest and expanding Southeast and Texas footprints through acquisitions. Q2 2026 net income was $727M ($0.33 per share, +36% YoY) on revenue of $4.17B (+38% YoY), with TTM revenue of $14.4B [1]. CEO Stephen Steinour has led since 2009.</w:t>
      </w:r>
    </w:p>
    <w:p>
      <w:r>
        <w:rPr>
          <w:rFonts w:ascii="Calibri" w:hAnsi="Calibri"/>
          <w:b/>
          <w:color w:val="6E8450"/>
          <w:sz w:val="18"/>
        </w:rPr>
        <w:t>20,000 Employees · https://www.huntington.com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Huntington's recent major moves are acquisitions and footprint expansion rather than product pivots, with organic fee income up 30% YoY in Q2 2026 a sign of capability building [1]. AI Deployment (2/2): the CFO doubles as AI strategist and the bank went from 2 AI agents in Q4 2022 to 50 in production and 60+ in development, adding about 15 per month [2]. Market Share (1/2): meaningful regional player, but no specific share-gain data surfaced. Pipeline (1/2): a 2027 ROTCE target of 18-19% and AI pipeline are stated without product-level dates [1]. R&amp;D (0/1): banks do not report R&amp;D intensity.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Huntington's 'look out for people' and Welcome-branded purpose is distinctive among regional banks and is backed by an Outstanding Community Reinvestment Act rating [3]. Community Impact (1/2): the CRA rating and renewable and emissions goals (50% renewable electricity by 2035, 41% GHG reduction by 2037) are documented, but dollar-denominated programs were not captured in research [3]. Employee Retention (1/2): CEO tenure since 2009 and long-tenured leadership imply stability, though no turnover data was found [2]. Insider Buying (0/2): no net insider buying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Dividend stock; D/E unavailable and excluded. ROE of 9.0% scores 0.60, while revenue growth of 47.6% YoY, estimated 5yr CAGR above 10%, forward P/E of 8.6 and 26.1% margin all score 1.0 [1]. Dividend metrics use estimates: yield of about 4.0%, payout near 47% (0.88), about 16 consecutive years paid since the post-2009 restart (1.0, 2x), about 3 years of growth (0.30) and 5yr dividend CAGR of about 2% (0.33, 2x). Weighted 8.45/11 gives 8. Dollar volume of about $400M clears the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Huntington is a stable, long-tenured, purpose-branded regional bank that has executed ambitious acquisitions. Its strategy still reads as a growth-and-ROTCE-target story, and no pivot has tested its cause against short-term earnings.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'Look out for people' and a Welcome-style service culture is genuine and distinctive for the sector, but it is not yet validated as a competitive advantage across crises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continuity since 2009 and stable leadership suggest adequate trust, with no data showing exceptional empowerment or turnover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learning-from-rivals framing; competitive language centers on 2027 ROTCE targets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Evolved through merger-driven expansion and digital and AI adoption, incremental rather than a core-business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embarked on large footprint-expanding acquisitions and heavy AI investment that depress near-term efficiency, but evidence of costly principled stands is limited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Huntington at $15.33 trades at 8.6x forward earnings while Q2 2026 net income rose 36% YoY to $727M, net interest income climbed 8.5% sequentially, fee income grew 30% organically, and management reiterated an 18-19% ROTCE target for 2027 [1]. A roughly 4% yield, 26% margin and an AI program with 50 agents in production support further efficiency gains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ROE is only 9.0%, well below the sector's best, and much of the reported 38% revenue growth reflects acquisition effects that will not repeat. Dividend growth has been slow (about 2% 5-year CAGR), the stock sits below its 50-day average of $16.62, and credit and deposit-cost pressure could challenge guidance [1]. Reliance on a 17-year CEO concentrates institutional knowledge and creates succession risk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Integration of recent acquisitions delivering cost synergies and sequential NII growth (+8.5% in Q2 2026)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Reaching the 2027 ROTCE target of 18-19% would close the profitability gap to top regional peers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Scaling AI agents (50 in production, 60+ in development) to lower the efficiency ratio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ROE of 9.0% and acquisition-inflated growth (revenue +47.6%) may not persist once integration benefits plateau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Credit-quality and deposit-cost pressure in a regional-bank cycle could compress the PPNR gains reported in Q2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Long-tenured CEO since 2009 raises succession and key-person risk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 regulated, deposit-funded commercial bank has structural moats of charter, FDIC insurance and relationship lending, and Huntington frames AI as a catalyst for efficiency and customer experience rather than a threat [2]. Exposure exists in back-office and branch labor and in AI agents that could commoditize basic customer interaction, which is why the score stops short of immune. AI Opportunity (0/1): 50 agents in production deliver efficiency, but no AI revenue figure is disclosed.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Huntington Bancshares Q2 2026 Earnings Release, Form 8-K, July 23, 2026; Q1 2026 earnings highlights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Fortune, 'At Huntington Bancshares, the CFO is also the AI strategist', April 24, 2026; Simply Wall St management analysis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Huntington 2023 ESG Report and Yahoo Finance Sustainalytics ESG risk rating (score 16),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