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HTZ</w:t>
      </w:r>
      <w:r>
        <w:rPr>
          <w:rFonts w:ascii="Calibri" w:hAnsi="Calibri"/>
          <w:b/>
          <w:color w:val="1A2010"/>
          <w:sz w:val="40"/>
        </w:rPr>
        <w:t xml:space="preserve">  Hertz Global Holdings, Inc.</w:t>
      </w:r>
    </w:p>
    <w:p>
      <w:pPr>
        <w:spacing w:after="120"/>
      </w:pPr>
      <w:r>
        <w:rPr>
          <w:rFonts w:ascii="Calibri" w:hAnsi="Calibri"/>
          <w:b/>
          <w:color w:val="6E8450"/>
          <w:sz w:val="18"/>
        </w:rPr>
        <w:t>GROWTH SLEEVE · 2026-08-26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NASDAQ · United States</w:t>
      </w:r>
    </w:p>
    <w:p>
      <w:pPr>
        <w:spacing w:after="80"/>
      </w:pPr>
      <w:r>
        <w:rPr>
          <w:rFonts w:ascii="Calibri" w:hAnsi="Calibri"/>
          <w:b w:val="0"/>
          <w:color w:val="3A4A28"/>
          <w:sz w:val="20"/>
        </w:rPr>
        <w:t>Hertz Global Holdings operates the Hertz, Dollar, and Thrifty vehicle rental brands across company-operated, licensee, and franchisee locations in the Americas and internationally. Under CEO Gil West (since April 2024, previously COO at Cruise and Delta Air Lines), the company posted Q2 2026 revenue of $2.4 billion (+10% YoY) — its strongest year-over-year growth in three years — with GAAP results swinging to $64 million net income from a $294 million prior-year loss and adjusted Corporate EBITDA surging 350% to $81 million [1]. The turnaround remains debt-heavy, with $2.5 billion in maturities due in both 2028 and 2029, and the company faces active congressional scrutiny over its AI-powered vehicle damage-scanning technology [1][2].</w:t>
      </w:r>
    </w:p>
    <w:p>
      <w:r>
        <w:rPr>
          <w:rFonts w:ascii="Calibri" w:hAnsi="Calibri"/>
          <w:b/>
          <w:color w:val="6E8450"/>
          <w:sz w:val="18"/>
        </w:rPr>
        <w:t>26,000 Employees · https://www.hertz.com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Hertz has executed a genuine operational turnaround under CEO Gil West — the strongest YoY revenue growth in three years, a swing from a $294 million net loss to $64 million net income, and adjusted EBITDA up 350% to $81 million in Q2 2026 — achieved despite operating a fleet 1% smaller than the prior year, reflecting improved pricing and utilization [1]. This is meaningful but not yet a fully proven, multi-year transformation given the company's recent history of a costly EV fleet strategy reversal. AI Deployment (1/2): Hertz has deployed UVeye AI-powered damage-scanning cameras at scale across airport locations, a real shipped product, but it has generated widespread customer complaints, an FTC investigation request, and a Senate inquiry from Senator Blumenthal rather than clean measurable benefit, so it only partially qualifies [2]. Market Share (1/2): Hertz is one of the 'big three' US rental car brands alongside Enterprise and Avis Budget, a meaningful but not leading position. Product Pipeline (0/2): A vaguely described 'strategic expansion into autonomous vehicle fleet management' was mentioned without specific timelines or revenue visibility [1]. R&amp;D Intensity (0/1): No evidence of above-industry-average R&amp;D or technology investment intensity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Hertz's public positioning around being a 'global mobility leader' focused on 'service and operational excellence' is generic corporate language interchangeable with any rental or mobility company, with no distinctive purpose identified [1]. Community Impact (0/2): No distinctive charitable or community programs were identified. Employee Retention (0/2): No positive tenure or retention data was found; the company has cycled through multiple CEOs in recent years (Scherr to West in April 2024) amid post-bankruptcy restructuring, a signal of organizational churn rather than stability. Insider Buying (0/2): No insider purchase data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Revenue growth YoY of 9.7% falls just short of the 10% target, scoring 0.99. Forward P/E of -25.34x reflects continued expected losses on a forward basis despite the Q2 GAAP profit, and is treated as not meaningful for valuation purposes, scoring 0.0. TTM profit margin of -3.13% is below the 0% floor, scoring 0.0. D/E, ROE, revenue 5yr CAGR, and forward PEG are all unavailable given negative or unstable equity/earnings and are excluded from the calculation. Weighted sum of 0.99 against a max of 3.0 (only three 1x-weighted metrics available) yields an infrastructure score of 3, reflecting a balance sheet still working through $2.5 billion in 2028/2029 debt maturities despite the recent operational improvement [1]. Liquidity floor is easily cleared at roughly $67.9M in estimated daily dollar volume (30,429,661 shares x $2.23).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Hertz under CEO Gil West is executing a real and difficult financial turnaround, which required genuine short-term sacrifice, but the company shows no articulated Just Cause beyond 'mobility leader' language, has a recent history of costly strategic reversals (the EV fleet buildout and subsequent sell-off), and its flagship technology initiative (AI damage scanning) has become a source of consumer and congressional backlash rather than trust-building. This is a company focused on quarter-to-quarter financial recovery, not one built for enduring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was identified in research; Hertz's communications center on turnaround execution, revenue and EBITDA metrics, and operational stabilization rather than any service-oriented vision of the future that transcends the company's own recovery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Hertz has cycled CEOs in recent years (Stephen Scherr to Gil West in April 2024) amid post-bankruptcy restructuring, and no positive employee tenure, satisfaction, or psychological-safety data was found to offset this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Hertz framing Enterprise or Avis Budget as sources of learning; available commentary frames competition through the lens of Hertz's own financial catch-up and turnaround narrative.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Hertz's prior EV fleet strategy — an aggressive buildout followed by a costly reversal and fleet sell-down at a loss — reflects reactive, poorly executed strategic pivoting rather than deliberate, cause-driven flexibility. The vaguely described 'autonomous vehicle fleet management' expansion has no specifics confirming a genuine transformative bet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Gil West's restructuring since April 2024 — stabilizing operations, rightsizing the fleet, and driving toward GAAP profitability against a backdrop of $2.5 billion in looming debt maturities — required real near-term discipline and difficult operational choices to rebuild the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Hertz's turnaround under CEO Gil West is showing real traction: Q2 2026 revenue grew 10% YoY to $2.4 billion — the strongest growth in three years — with GAAP net income of $64 million swinging from a $294 million prior-year loss, and adjusted Corporate EBITDA surging 350% to $81 million, achieved with a fleet 1% smaller than a year ago, implying genuine pricing and utilization gains rather than just fleet growth [1]. If this operational momentum continues, the deeply discounted equity ($2.23/share against a company still generating billions in revenue) offers meaningful upside as the balance sheet gradually deleverages.</w:t>
      </w:r>
    </w:p>
    <w:p>
      <w:pPr>
        <w:spacing w:after="120"/>
      </w:pPr>
      <w:r>
        <w:rPr>
          <w:rFonts w:ascii="Calibri" w:hAnsi="Calibri"/>
          <w:b w:val="0"/>
          <w:color w:val="3A4A28"/>
          <w:sz w:val="20"/>
        </w:rPr>
        <w:t>The bear case is substantial. TTM profit margin remains negative (-3.13%) and forward P/E of -25x signals the market still expects losses ahead, while $2.5 billion in debt comes due in both 2028 and 2029 against a company with an unstable equity base (D/E and ROE not meaningfully calculable) [1]. The AI damage-scanning controversy — customers charged hundreds of dollars for undetectable damage, an FTC investigation request, and a formal Senate inquiry from Senator Blumenthal — creates real regulatory and reputational risk on top of the financial turnaround's execution risk [2]. Combined with a history of costly strategic missteps (the EV fleet reversal) and no articulated Just Cause, Hertz remains a high-risk, financially fragile turnaround story rather than an established value compounder.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sequential improvement in Adjusted Corporate EBITDA (already +350% YoY to $81M in Q2 2026) as fleet-cost discipline and pricing power compound through 2026-2027 [1]</w:t>
      </w:r>
    </w:p>
    <w:p>
      <w:pPr>
        <w:spacing w:before="40" w:after="40"/>
        <w:ind w:left="283"/>
      </w:pPr>
      <w:r>
        <w:rPr>
          <w:rFonts w:ascii="Calibri" w:hAnsi="Calibri"/>
          <w:b/>
          <w:color w:val="4A6B25"/>
          <w:sz w:val="20"/>
        </w:rPr>
        <w:t xml:space="preserve">2. </w:t>
      </w:r>
      <w:r>
        <w:rPr>
          <w:rFonts w:ascii="Calibri" w:hAnsi="Calibri"/>
          <w:b w:val="0"/>
          <w:color w:val="3A4A28"/>
          <w:sz w:val="20"/>
        </w:rPr>
        <w:t>Successful refinancing or extension of the $2.5 billion 2028/2029 debt maturities on favorable terms, which would remove the primary balance sheet overhang weighing on the equity [1]</w:t>
      </w:r>
    </w:p>
    <w:p>
      <w:pPr>
        <w:spacing w:before="40" w:after="40"/>
        <w:ind w:left="283"/>
      </w:pPr>
      <w:r>
        <w:rPr>
          <w:rFonts w:ascii="Calibri" w:hAnsi="Calibri"/>
          <w:b/>
          <w:color w:val="4A6B25"/>
          <w:sz w:val="20"/>
        </w:rPr>
        <w:t xml:space="preserve">3. </w:t>
      </w:r>
      <w:r>
        <w:rPr>
          <w:rFonts w:ascii="Calibri" w:hAnsi="Calibri"/>
          <w:b w:val="0"/>
          <w:color w:val="3A4A28"/>
          <w:sz w:val="20"/>
        </w:rPr>
        <w:t>Resolution of the UVeye AI damage-scanning controversy through a revised, more transparent dispute process, which could defuse congressional/regulatory risk and rebuild customer trust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AI damage-scanning controversy carries real regulatory tail risk — an FTC investigation or unfavorable Senate inquiry outcome could force costly process changes, fines, or reputational damage that undermines the pricing gains driving the turnaround [2]</w:t>
      </w:r>
    </w:p>
    <w:p>
      <w:pPr>
        <w:spacing w:before="40" w:after="40"/>
        <w:ind w:left="283"/>
      </w:pPr>
      <w:r>
        <w:rPr>
          <w:rFonts w:ascii="Calibri" w:hAnsi="Calibri"/>
          <w:b/>
          <w:color w:val="4A6B25"/>
          <w:sz w:val="20"/>
        </w:rPr>
        <w:t xml:space="preserve">2. </w:t>
      </w:r>
      <w:r>
        <w:rPr>
          <w:rFonts w:ascii="Calibri" w:hAnsi="Calibri"/>
          <w:b w:val="0"/>
          <w:color w:val="3A4A28"/>
          <w:sz w:val="20"/>
        </w:rPr>
        <w:t>$2.5 billion in debt maturities in both 2028 and 2029 against a still-negative TTM profit margin create refinancing risk if the turnaround stalls or credit markets tighten [1]</w:t>
      </w:r>
    </w:p>
    <w:p>
      <w:pPr>
        <w:spacing w:before="40" w:after="40"/>
        <w:ind w:left="283"/>
      </w:pPr>
      <w:r>
        <w:rPr>
          <w:rFonts w:ascii="Calibri" w:hAnsi="Calibri"/>
          <w:b/>
          <w:color w:val="4A6B25"/>
          <w:sz w:val="20"/>
        </w:rPr>
        <w:t xml:space="preserve">3. </w:t>
      </w:r>
      <w:r>
        <w:rPr>
          <w:rFonts w:ascii="Calibri" w:hAnsi="Calibri"/>
          <w:b w:val="0"/>
          <w:color w:val="3A4A28"/>
          <w:sz w:val="20"/>
        </w:rPr>
        <w:t>History of strategic missteps (the costly EV fleet buildout and reversal) raises execution risk around the newly announced, vaguely defined autonomous vehicle fleet management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Hertz's core business — physically renting vehicles — cannot be substituted by AI, and the company's turnaround momentum is unrelated to any AI substitution threat. However, Hertz's own AI deployment (UVeye damage-scanning cameras) has become a genuine earnings and reputational risk in itself: widespread customer complaints of being charged for undetectable or phantom damage, a call from Jack Schlossberg for an FTC investigation, and Senator Blumenthal formally demanding answers about the scanning and appeals process together represent real regulatory and reputational exposure tied directly to AI use, which keeps this out of the top IMMUNE tier despite the physically-protected core business [2]. AI Opportunity (0/1): The UVeye system is a cost/operations tool generating disputed customer charges and controversy rather than a monetized AI product or service, so no tiebreaker point is earned.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Hertz Global Q2 2026 Earnings Presentation — Revenue $2.4B (+10% YoY), GAAP Net Income $64M (vs -$294M loss), Adjusted Corporate EBITDA $81M (+350%), $2.5B Debt Maturities 2028/2029 — Investing.com/StockTitan,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Hertz AI Damage Scanner Controversy — UVeye Partnership, Senator Blumenthal Congressional Inquiry, FTC Investigation Request from Jack Schlossberg, Customer Overcharge Reports — CBS News/Carscoops/Blumenthal Senate Office, 2026</w:t>
      </w:r>
    </w:p>
    <w:p>
      <w:pPr>
        <w:spacing w:before="20" w:after="20"/>
        <w:ind w:left="170"/>
      </w:pPr>
      <w:r>
        <w:rPr>
          <w:rFonts w:ascii="Calibri" w:hAnsi="Calibri"/>
          <w:b/>
          <w:color w:val="4A6B25"/>
          <w:sz w:val="15"/>
        </w:rPr>
        <w:t xml:space="preserve">3. </w:t>
      </w:r>
      <w:r>
        <w:rPr>
          <w:rFonts w:ascii="Calibri" w:hAnsi="Calibri"/>
          <w:b w:val="0"/>
          <w:color w:val="3A4A28"/>
          <w:sz w:val="17"/>
        </w:rPr>
        <w:t>Hertz Leadership — CEO Gil West (since April 2024), Prior COO at Cruise and Delta Air Lines, Turnaround Strategy — Hertz Newsroom/Yahoo Finance,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