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INVH</w:t>
      </w:r>
      <w:r>
        <w:rPr>
          <w:rFonts w:ascii="Calibri" w:hAnsi="Calibri"/>
          <w:b/>
          <w:color w:val="1A2010"/>
          <w:sz w:val="40"/>
        </w:rPr>
        <w:t xml:space="preserve">  Invitation Homes Inc.</w:t>
      </w:r>
    </w:p>
    <w:p>
      <w:pPr>
        <w:spacing w:after="120"/>
      </w:pPr>
      <w:r>
        <w:rPr>
          <w:rFonts w:ascii="Calibri" w:hAnsi="Calibri"/>
          <w:b/>
          <w:color w:val="6E8450"/>
          <w:sz w:val="18"/>
        </w:rPr>
        <w:t>DIVIDEND SLEEVE · 2026-08-23 · Inspire: 41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Residential · NYSE · United States</w:t>
      </w:r>
    </w:p>
    <w:p>
      <w:pPr>
        <w:spacing w:after="80"/>
      </w:pPr>
      <w:r>
        <w:rPr>
          <w:rFonts w:ascii="Calibri" w:hAnsi="Calibri"/>
          <w:b w:val="0"/>
          <w:color w:val="3A4A28"/>
          <w:sz w:val="20"/>
        </w:rPr>
        <w:t>Largest single-family rental REIT in the United States, owning and managing approximately 85,000 homes across 16 markets. Led by CEO Dallas Tanner, the company reported Q2 2026 revenue of $748M (+9.7% YoY) and raised full-year FFO and AFFO guidance to $1.65/share at midpoint. The company settled a $48M FTC enforcement action in 2024 for deceptive tenant practices including undisclosed junk fees, improper security deposit withholding, and unfair eviction filings. Market cap of approximately $18B.</w:t>
      </w:r>
    </w:p>
    <w:p>
      <w:r>
        <w:rPr>
          <w:rFonts w:ascii="Calibri" w:hAnsi="Calibri"/>
          <w:b/>
          <w:color w:val="6E8450"/>
          <w:sz w:val="18"/>
        </w:rPr>
        <w:t>1,800 Employees · https://www.invitationhomes.com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Invitation Homes pioneered the institutionalization of single-family rental as an asset class, transforming a fragmented market of individual landlords into a professionally managed, data-driven platform operating ~85,000 homes across 16 markets [1]. Created from Blackstone's post-2008 distressed housing acquisitions, the company built proprietary property management systems, centralized maintenance operations, and scalable tenant management infrastructure that created a new category in real estate. This represents a genuine market-defining transformation over the last decade. AI Deployment (0/2): No evidence of AI-powered products or quantified AI-driven cost savings was identified. The company appointed Bill Tierney as Chief Experience Officer with expanded analytics oversight, but no specific AI deployments with measurable results have been publicly disclosed [5]. Market Share Leadership (2/2): Invitation Homes is the clear category leader in single-family rental REITs with approximately 85,000 homes — the largest SFR portfolio in the United States, significantly ahead of competitors like American Homes 4 Rent (~60,000 homes) [1]. The company defines and leads the institutional SFR category. Product Pipeline (0/2): No next-generation products or services with specific launch dates and revenue visibility were identified; the company grows through acquisition and organic rent increases rather than product innovation [1]. R&amp;D Intensity (0/1): As a REIT, Invitation Homes does not have meaningful R&amp;D spending; investment goes into property acquisition and maintenance rather than technology development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Invitation Homes' branding centers on providing 'a home for everyone' in the single-family rental space, but this is generic and interchangeable with any residential property company [5]. The mission does not articulate a deeper purpose beyond renting houses, and the $48M FTC enforcement action for deceptive tenant practices — including junk fees, improper security deposit withholding, and unfair eviction filings — directly contradicts any claimed commitment to resident welfare [3]. Community &amp; Charitable Impact (0/2): No evidence of significant charitable programs, foundation activity, or community investment was identified. The FTC enforcement action documented systematic practices that harmed renters, including starting eviction proceedings against tenants who had already moved out and failing to inform renters about CDC declaration filing options, which actively damaged the communities the company serves [3]. Employee Retention (1/2): Glassdoor ratings of 3.7/5 for culture and values, 3.4/5 for work-life balance, with 68% of employees recommending working there — average for the real estate industry with no standout retention evidence [5]. The executive team is described as 'responsive, proactive and open to ideas,' but no specific tenure or turnover data supports above-average retention. Insider Buying (0/2): No evidence of meaningful net insider buying by CEO Dallas Tanner or other executives was identified in available public data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Invitation Homes demonstrates strong financial infrastructure for a residential REIT, with notable strengths in revenue growth and dividend consistency. D/E of 94.38% scores 0.89 — moderate leverage appropriate for a real estate company with stable rental income [4]. ROE of 7.04% scores 0.47 against the 15% target, reflecting the capital-intensive nature of owning 85,000 homes with significant depreciation [4]. Revenue growth YoY of 9.7% (Q2 2026) scores 0.99 and estimated 5yr CAGR of ~9% scores 0.93, driven by consistent same-store rent increases and portfolio expansion [1]. Forward P/E of 39.58 scores 0.51 — the premium valuation reflects market confidence in the SFR asset class but penalizes the infrastructure score. Profit margin of 23.22% scores 1.0 [4]. Dividend metrics are mixed: 9 consecutive years paid (0.90 at 2x weight) and 5yr dividend growth CAGR of 12.03% (1.0 at 2x weight) are strong, but the 109% payout ratio exceeds the 100% floor (scores 0) — typical for REITs required to distribute 90%+ of taxable income but penalized by the rubric. Consecutive years of growth estimated at 8 (0.80). The stock clears the liquidity floor with ~$126M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Invitation Homes is a finite game player optimizing for quarterly FFO growth and rental yield. The $48M FTC enforcement action for systematic tenant deception — junk fees, improper eviction filings, withheld security deposits — reveals a company that prioritizes short-term revenue extraction over long-term stakeholder trust. The company lacks an articulated Just Cause beyond renting homes, shows no evidence of courageous long-term decisions, and its competitive language focuses on market share and portfolio scale rather than self-improvement. The only infinite game signals are average employee culture ratings and some business model evolution from distressed housing acquisitions to professional property management.</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Invitation Homes does not articulate a Just Cause. The company exists to own and rent single-family homes for profit — a valid business but not a vision of a future state that inspires sacrifice [5]. More critically, the $48M FTC enforcement action documented systematic practices that actively harmed tenants: deceiving renters about lease costs, charging undisclosed junk fees, withholding security deposits, and filing eviction proceedings against tenants who had already moved out [3]. These practices, affecting thousands of families, fundamentally contradict any claim to a purpose-driven approach to housing. Sinek would identify this as a textbook finite player — one that extracts value from its position rather than serving a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Invitation Homes employees rate the company 3.7/5 for culture and values on Glassdoor, with 68% recommending it as a workplace, and reviews describe the leadership team as 'responsive, proactive and open to ideas to improve the associate and resident experience' [5]. CEO Dallas Tanner has led the company through its evolution from Blackstone vehicle to independent REIT, providing leadership continuity. However, the FTC enforcement action revealing systematic tenant mistreatment suggests a disconnect between internal culture (employees feel valued) and external conduct (tenants are exploited), which Sinek would view as a trust failure that extends beyond internal teams.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was identified. Invitation Homes frames competition in terms of portfolio scale — '85,000 homes, largest SFR REIT' — which is a finite measurement of winning rather than a recognition of competitors' strengths [1]. Competition with American Homes 4 Rent and smaller SFR platforms is discussed in terms of market share and acquisition pace. No evidence of management publicly acknowledging rival capabilities or citing competitive dynamics as motivation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Invitation Homes has evolved from Blackstone's vehicle for acquiring distressed single-family homes post-2008 financial crisis into a professionally managed, publicly traded REIT with centralized operations, proprietary management systems, and institutional-grade reporting [1]. This represents meaningful business model evolution — from opportunistic real estate acquisitions to a scalable, recurring-revenue property management platform. However, the pivot was driven by financial markets (IPO path) rather than a Just Cause, and the fundamental business model of owning and renting houses has not changed.</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long-term decisions was identified. The $48M FTC settlement for systematic tenant deception suggests leadership prioritized short-term revenue extraction (junk fees, withheld deposits) over long-term stakeholder trust — the opposite of courageous, principle-driven leadership [3]. The company raised full-year guidance by one cent at midpoint, reflecting incremental optimization rather than bold strategic bets [1]. No examples of leadership choosing long-term capability building over short-term earnings, walking away from profitable but misaligned practices, or taking principled stances that cost money were found.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Invitation Homes offers a 3.94% dividend yield backed by the largest single-family rental portfolio in the United States — approximately 85,000 homes across 16 markets with Q2 2026 revenue growth of 9.7% YoY to $748M [1]. The company raised full-year FFO and AFFO guidance to $1.65/share, demonstrating confidence in sustained operating performance. Same Store NOI grew 1.5% on 1.6% revenue growth and disciplined 1.9% expense growth in Q2 [1]. The SFR asset class benefits from structural tailwinds: housing affordability constraints keep potential homebuyers in rental markets, remote work drives suburban single-family demand, and institutional SFR remains a small fraction of the total single-family rental market (~2% institutionally owned), providing a long acquisition runway. The Inspire Impact Score of 41 (ALIGNED) with no negative attributions supports values-based allocation [4].</w:t>
      </w:r>
    </w:p>
    <w:p>
      <w:pPr>
        <w:spacing w:after="120"/>
      </w:pPr>
      <w:r>
        <w:rPr>
          <w:rFonts w:ascii="Calibri" w:hAnsi="Calibri"/>
          <w:b w:val="0"/>
          <w:color w:val="3A4A28"/>
          <w:sz w:val="20"/>
        </w:rPr>
        <w:t>The bear case centers on premium valuation, tenant relations risk, and interest rate sensitivity. Forward P/E of 39.58 and PEG of 6.01 price the stock for perfection — any deceleration in rent growth or increase in maintenance costs could trigger meaningful multiple compression [4]. The $48M FTC settlement for deceptive tenant practices (junk fees, improper evictions, withheld deposits) creates ongoing reputational and regulatory risk, with over 1,000 complaints filed statewide and activist groups like Housing Is A Human Right actively campaigning against the company's practices [3]. The 109% payout ratio indicates the dividend exceeds GAAP earnings (typical for REITs but leaves no reinvestment cushion), and the ROE of 7.04% is below the cost of equity for a leveraged real estate company with 94% D/E. Rising interest rates would increase refinancing costs on the company's debt-funded portfolio and simultaneously improve housing affordability, potentially reducing rental demand. Same Store NOI growth of only 1.5% in Q2 2026 trails inflation, suggesting limited pricing power in some markets as new supply comes online and tenant protections strengthen.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Structural tailwinds in single-family rental — housing affordability constraints, remote work trends, and institutional SFR at only ~2% of the total single-family rental market provide a multi-year acquisition runway to grow the 85,000-home portfolio [1]</w:t>
      </w:r>
    </w:p>
    <w:p>
      <w:pPr>
        <w:spacing w:before="40" w:after="40"/>
        <w:ind w:left="283"/>
      </w:pPr>
      <w:r>
        <w:rPr>
          <w:rFonts w:ascii="Calibri" w:hAnsi="Calibri"/>
          <w:b/>
          <w:color w:val="4A6B25"/>
          <w:sz w:val="20"/>
        </w:rPr>
        <w:t xml:space="preserve">2. </w:t>
      </w:r>
      <w:r>
        <w:rPr>
          <w:rFonts w:ascii="Calibri" w:hAnsi="Calibri"/>
          <w:b w:val="0"/>
          <w:color w:val="3A4A28"/>
          <w:sz w:val="20"/>
        </w:rPr>
        <w:t>Raised full-year 2026 FFO and AFFO guidance to $1.65/share midpoint following strong Q2 results, with Q2 revenue growth accelerating to 9.7% YoY from Q1's 8.8%, suggesting improving operating momentum [1]</w:t>
      </w:r>
    </w:p>
    <w:p>
      <w:pPr>
        <w:spacing w:before="40" w:after="40"/>
        <w:ind w:left="283"/>
      </w:pPr>
      <w:r>
        <w:rPr>
          <w:rFonts w:ascii="Calibri" w:hAnsi="Calibri"/>
          <w:b/>
          <w:color w:val="4A6B25"/>
          <w:sz w:val="20"/>
        </w:rPr>
        <w:t xml:space="preserve">3. </w:t>
      </w:r>
      <w:r>
        <w:rPr>
          <w:rFonts w:ascii="Calibri" w:hAnsi="Calibri"/>
          <w:b w:val="0"/>
          <w:color w:val="3A4A28"/>
          <w:sz w:val="20"/>
        </w:rPr>
        <w:t>Potential re-rating if interest rate environment improves — lower mortgage rates would increase home values (NAV upside) while keeping housing affordability challenged (sustaining rental demand), and lower financing costs would reduce debt service on the leveraged portfolio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FTC enforcement and tenant relations risk — the $48M settlement for systematic tenant deception (junk fees, improper evictions, withheld deposits) creates ongoing regulatory scrutiny, with over 1,000 complaints filed and housing advocacy groups actively campaigning against the company's practices, potentially leading to additional enforcement actions or legislative restrictions [3]</w:t>
      </w:r>
    </w:p>
    <w:p>
      <w:pPr>
        <w:spacing w:before="40" w:after="40"/>
        <w:ind w:left="283"/>
      </w:pPr>
      <w:r>
        <w:rPr>
          <w:rFonts w:ascii="Calibri" w:hAnsi="Calibri"/>
          <w:b/>
          <w:color w:val="4A6B25"/>
          <w:sz w:val="20"/>
        </w:rPr>
        <w:t xml:space="preserve">2. </w:t>
      </w:r>
      <w:r>
        <w:rPr>
          <w:rFonts w:ascii="Calibri" w:hAnsi="Calibri"/>
          <w:b w:val="0"/>
          <w:color w:val="3A4A28"/>
          <w:sz w:val="20"/>
        </w:rPr>
        <w:t>Premium valuation vulnerability — Forward P/E of 39.58 and PEG of 6.01 price in sustained growth, and Same Store NOI growth of only 1.5% in Q2 (below inflation) suggests limited pricing power that could trigger multiple compression if rent growth continues to decelerate [1][4]</w:t>
      </w:r>
    </w:p>
    <w:p>
      <w:pPr>
        <w:spacing w:before="40" w:after="40"/>
        <w:ind w:left="283"/>
      </w:pPr>
      <w:r>
        <w:rPr>
          <w:rFonts w:ascii="Calibri" w:hAnsi="Calibri"/>
          <w:b/>
          <w:color w:val="4A6B25"/>
          <w:sz w:val="20"/>
        </w:rPr>
        <w:t xml:space="preserve">3. </w:t>
      </w:r>
      <w:r>
        <w:rPr>
          <w:rFonts w:ascii="Calibri" w:hAnsi="Calibri"/>
          <w:b w:val="0"/>
          <w:color w:val="3A4A28"/>
          <w:sz w:val="20"/>
        </w:rPr>
        <w:t>Interest rate sensitivity and leverage risk — D/E of 94% with a 109% GAAP payout ratio leaves no reinvestment margin, and rising rates would simultaneously increase refinancing costs and potentially improve housing affordability, reducing the rental demand that underpins the SFR thesis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Invitation Homes' core business — owning, maintaining, and renting physical single-family houses — is structurally immune to AI disruption [1]. AI cannot build houses, perform plumbing repairs, mow lawns, or replace the fundamental human need for shelter. The business involves physical real estate assets with intrinsic value, deep regulatory frameworks (tenant law, building codes, local zoning), and essential infrastructure that AI cannot displace. AI may increase demand for the company's assets if remote work (enabled by AI productivity tools) drives continued suburban migration and demand for single-family housing. PropTech and AI-driven property management tools could marginally improve competitor efficiency, but the primary competitive advantage — owning 85,000 homes in 16 markets — is a physical moat that technology cannot replicate without massive capital investment [1]. AI Opportunity (0/1): Invitation Homes does not generate revenue from AI-related products or services. The company uses data analytics for pricing and operations but has not reported specific AI-driven revenue or quantified AI-enabled cost savings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Invitation Homes Q2 2026 Financial Results — Revenue $748M (+9.7%), Net Income $218M (+55.1%), Core FFO $0.51 (+5.0%), Raised Full-Year Guidance to $1.65/Share, BusinessWire/SEC Filing, July 30, 2026</w:t>
      </w:r>
    </w:p>
    <w:p>
      <w:pPr>
        <w:spacing w:before="20" w:after="20"/>
        <w:ind w:left="170"/>
      </w:pPr>
      <w:r>
        <w:rPr>
          <w:rFonts w:ascii="Calibri" w:hAnsi="Calibri"/>
          <w:b/>
          <w:color w:val="4A6B25"/>
          <w:sz w:val="15"/>
        </w:rPr>
        <w:t xml:space="preserve">2. </w:t>
      </w:r>
      <w:r>
        <w:rPr>
          <w:rFonts w:ascii="Calibri" w:hAnsi="Calibri"/>
          <w:b w:val="0"/>
          <w:color w:val="3A4A28"/>
          <w:sz w:val="17"/>
        </w:rPr>
        <w:t>Invitation Homes Q1 2026 Financial Results — Revenue $734M (+8.8%), Net Income $160M (-3.5%), Core FFO $0.48, BusinessWire, April 29, 2026</w:t>
      </w:r>
    </w:p>
    <w:p>
      <w:pPr>
        <w:spacing w:before="20" w:after="20"/>
        <w:ind w:left="170"/>
      </w:pPr>
      <w:r>
        <w:rPr>
          <w:rFonts w:ascii="Calibri" w:hAnsi="Calibri"/>
          <w:b/>
          <w:color w:val="4A6B25"/>
          <w:sz w:val="15"/>
        </w:rPr>
        <w:t xml:space="preserve">3. </w:t>
      </w:r>
      <w:r>
        <w:rPr>
          <w:rFonts w:ascii="Calibri" w:hAnsi="Calibri"/>
          <w:b w:val="0"/>
          <w:color w:val="3A4A28"/>
          <w:sz w:val="17"/>
        </w:rPr>
        <w:t>FTC Enforcement Action Against Invitation Homes — $48M Settlement for Deceptive Tenant Practices Including Junk Fees, Improper Evictions, Withheld Security Deposits, FTC.gov, September 2024</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GuruFocus — INVH Key Statistics: Stock Price $30.29, Forward P/E 39.58, ROE 7.04%, D/E 94.38%, Dividend Yield 3.94%, Avg Volume 4.17M,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Invitation Homes Glassdoor Reviews — Culture 3.7/5, Work-Life Balance 3.4/5, 68% Recommend, CEO Dallas Tanner Profile, Glassdoor,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