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KIM</w:t>
      </w:r>
      <w:r>
        <w:rPr>
          <w:rFonts w:ascii="Calibri" w:hAnsi="Calibri"/>
          <w:b/>
          <w:color w:val="1A2010"/>
          <w:sz w:val="40"/>
        </w:rPr>
        <w:t xml:space="preserve">  Kimco Realty Corporation</w:t>
      </w:r>
    </w:p>
    <w:p>
      <w:pPr>
        <w:spacing w:after="120"/>
      </w:pPr>
      <w:r>
        <w:rPr>
          <w:rFonts w:ascii="Calibri" w:hAnsi="Calibri"/>
          <w:b/>
          <w:color w:val="6E8450"/>
          <w:sz w:val="18"/>
        </w:rPr>
        <w:t>DIVIDEND SLEEVE · 2026-08-26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Kimco Realty is a real estate investment trust and the largest publicly traded owner-operator of open-air, grocery-anchored shopping centers and mixed-use properties in the United States, with interests in 564 U.S. shopping centers and mixed-use assets totaling 100 million square feet as of Q2 2026. The company's tenant mix is concentrated in essential, necessity-based goods and services in first-ring suburbs of major coastal and Sun Belt metros. Publicly traded on the NYSE since 1991 and an S&amp;P 500 constituent, Kimco has specialized in shopping center ownership, redevelopment, and capital recycling for more than 65 years.</w:t>
      </w:r>
    </w:p>
    <w:p>
      <w:r>
        <w:rPr>
          <w:rFonts w:ascii="Calibri" w:hAnsi="Calibri"/>
          <w:b/>
          <w:color w:val="6E8450"/>
          <w:sz w:val="18"/>
        </w:rPr>
        <w:t>710 Employees · https://www.kimcorealty.com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Kimco has steadily recycled capital out of lower-growth assets into higher-growth grocery-anchored and mixed-use properties, but this is an incremental portfolio strategy rather than a transformative pivot — the business model has looked essentially the same for years [1]. AI Deployment (1/2): Kimco named Will Teichman EVP and Chief Innovation &amp; Transformation Officer in October 2025, signaling an innovation push, but no AI-powered products have shipped to tenants or customers and no quantified AI-driven savings have been disclosed [2]. Market Share (2/2): Kimco is the largest publicly traded owner-operator of grocery-anchored open-air shopping centers in the U.S., posting record portfolio occupancy of 96.3% in Q2 2026 with new-lease spreads reaching 40.4% — clear evidence of category leadership and pricing power [1]. Product Pipeline (1/2): Management raised FY2026 FFO guidance to $1.83-$1.84 and same-property NOI growth guidance to 3.0-3.5%, but this reflects operational momentum rather than named next-generation product launches with specific dates [1]. R&amp;D Intensity (0/1): Not applicable/not disclosed — Kimco does not report R&amp;D spend as a REIT, so no evidence supports an above-average R&amp;D claim.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Kimco's stated focus — owning centers anchored by essential, necessity-based goods and services that drive multiple shopping trips per week — clearly identifies what the company does and for whom, but reads as a business strategy rather than a distinctive, inspiring purpose [1]. Community Impact (1/2): Kimco publishes recurring ESG presentations and describes itself as 'a recognized industry leader' in corporate responsibility, but no specific charitable dollar amounts or flagship community programs were identified in available disclosures [3]. Employee Retention (1/2): Kimco has been named a Great Place to Work-certified employer for six consecutive years, but Glassdoor reviews are mixed — only 57% of employees would recommend the company, with a 3.2/5 culture-and-values rating and at least one reported instance of a senior leader dismissing employees' need for direction [2]. Insider Buying (0/2): No evidence of meaningful net insider buying by CEO Conor Flynn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weighting). D/E of 84.99% is modestly above the 70% target (score 0.94) but reasonable for a REIT. ROE of 5.81% is well below the 15% target (score 0.39), reflecting REIT accounting where large real estate asset bases suppress ROE. Revenue growth YoY of 4.9% is below the 10% target (score 0.83). Forward P/E of 26.91 is above the 20 target (score 0.83). Profit margin of 27.76% clears the 20% target (capped at 1.0). Revenue growth 5yr CAGR was unavailable and excluded from scoring. On dividend metrics: payout ratio of 119.77% (on a GAAP EPS basis, not FFO) is above the 100% floor and scores 0 — REITs commonly report GAAP payout ratios above 100% while FFO payout remains sustainable, and Q2 2026 results included a 12% dividend hike, but the raw metric scores 0 under this framework [1]. Consecutive years paid is approximately 34 (uninterrupted since the 1991 IPO, though the amount was cut in 2020) and caps at 1.0 with 2x weight. Consecutive years of dividend growth is approximately 5 (the quarterly rate has risen every year since the 2020 COVID-era cut, most recently with a 12% increase in Q2 2026), scoring 0.5. 5yr dividend growth CAGR of ~9% (quarterly rate roughly doubled off the pandemic trough) clears the 6% target and caps at 1.0 with 2x weight. Liquidity is not a concern: average daily volume of ~4.76M shares × $24.06 price = ~$114.5M,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Kimco plays a moderately infinite game: it fully exited the enclosed-mall business years ago to become a pure-play open-air, grocery-anchored REIT, a genuine strategic reinvention, and its necessity-based tenant focus reflects a real service orientation toward community shopping needs. But the culture signals are mixed (Glassdoor recommendation rate of only 57%, a reported leadership disengagement complaint) and there is no evidence of a Just Cause language that transcends sound real estate strategy, nor documented instances of courageous, costly long-term bets beyond routine capital recycling.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Kimco's focus on essential, necessity-based retail that 'drives multiple shopping trips per week' reflects a genuine service orientation toward the communities its centers anchor, and this focus has been consistent for over 65 years, surviving multiple retail cycles including the e-commerce disruption of the 2010s [1]. However, the language is closer to a well-articulated business strategy than an idealistic vision of a future state, and no evidence was found of it being explicitly invoked by leadership as a cause beyond financial positioning.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Kimco has been Great Place to Work-certified for six consecutive years and employees describe management as open to crowdsourced ideas, but Glassdoor data shows only 57% of employees would recommend the company to a friend, a 3.2/5 culture-and-values score, and at least one reported comment from a senior leader suggesting employees shouldn't expect direction — signals of an adequate but not exceptional trust environment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management commentary was identified describing competitors' strengths as a source of self-improvement, nor any language framing competition as destructive. Absent explicit evidence of an infinite competitive mindset, this defaults to the lower score.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Kimco completed a multi-year strategic transformation away from enclosed malls and non-core assets to become a pure-play open-air, grocery-anchored REIT, and continues active capital recycling into higher-growth mixed-use and redevelopment assets, funding these moves even when it meant divesting otherwise profitable legacy holdings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sustained capital recycling program — selling lower-growth assets to fund mixed-use redevelopment and grocery-anchored acquisitions — reflects a willingness to prioritize long-term portfolio quality over short-term earnings stability, and the company chose to cut (rather than borrow to sustain) its dividend during the 2020 downturn, protecting balance sheet strength over near-term shareholder optics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Kimco delivered a strong Q2 2026 with FFO of $0.46/share (+4.5% YoY), record portfolio occupancy of 96.3%, and blended new-lease spreads reaching 40.4%, prompting management to raise full-year FFO guidance to $1.83-$1.84 and hike the dividend 12% [1]. As the largest publicly traded owner of grocery-anchored open-air shopping centers, Kimco benefits from a necessity-based tenant base that is structurally resistant to e-commerce and AI substitution, and the company has completed a multi-year transformation out of enclosed malls into a pure-play open-air strategy with active capital recycling into mixed-use redevelopment [1]. The 4.62% dividend yield, backed by 34 years of uninterrupted payments and renewed dividend growth since the 2020 cut, offers durable income for the Dividend sleeve.</w:t>
      </w:r>
    </w:p>
    <w:p>
      <w:pPr>
        <w:spacing w:after="120"/>
      </w:pPr>
      <w:r>
        <w:rPr>
          <w:rFonts w:ascii="Calibri" w:hAnsi="Calibri"/>
          <w:b w:val="0"/>
          <w:color w:val="3A4A28"/>
          <w:sz w:val="20"/>
        </w:rPr>
        <w:t>The bear case centers on REIT-specific balance sheet mechanics and modest growth. ROE of just 5.81% and a GAAP payout ratio above 100% reflect real estate accounting quirks (heavy depreciation, large asset base) rather than fundamental distress, but they depress the mechanical Infrastructure score and require investors to trust FFO rather than GAAP EPS as the relevant earnings measure. Revenue growth YoY of only 4.9% and a Forward P/E of 26.91 leave limited room for multiple expansion absent accelerating same-property NOI growth beyond the guided 3.0-3.5% range. The 2020 dividend cut (from $0.28 to $0.10/quarter) remains a reminder that Kimco's income is not immune to macro shocks, and Glassdoor culture scores (57% recommend, 3.2/5 culture rating) suggest execution risk if talent retention weakens during the ongoing innovation push under the newly created Chief Innovation &amp; Transformation Officer role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FFO guidance raised to $1.83-$1.84/share with same-property NOI growth guidance lifted to 3.0-3.5%, alongside a 12% dividend increase signaling management confidence in the recycling strategy [1]</w:t>
      </w:r>
    </w:p>
    <w:p>
      <w:pPr>
        <w:spacing w:before="40" w:after="40"/>
        <w:ind w:left="283"/>
      </w:pPr>
      <w:r>
        <w:rPr>
          <w:rFonts w:ascii="Calibri" w:hAnsi="Calibri"/>
          <w:b/>
          <w:color w:val="4A6B25"/>
          <w:sz w:val="20"/>
        </w:rPr>
        <w:t xml:space="preserve">2. </w:t>
      </w:r>
      <w:r>
        <w:rPr>
          <w:rFonts w:ascii="Calibri" w:hAnsi="Calibri"/>
          <w:b w:val="0"/>
          <w:color w:val="3A4A28"/>
          <w:sz w:val="20"/>
        </w:rPr>
        <w:t>Record portfolio occupancy of 96.3% and new-lease spreads of 23.8-40.4% indicate continued pricing power as Kimco re-leases space vacated by weaker tenants to stronger, necessity-based operators [1]</w:t>
      </w:r>
    </w:p>
    <w:p>
      <w:pPr>
        <w:spacing w:before="40" w:after="40"/>
        <w:ind w:left="283"/>
      </w:pPr>
      <w:r>
        <w:rPr>
          <w:rFonts w:ascii="Calibri" w:hAnsi="Calibri"/>
          <w:b/>
          <w:color w:val="4A6B25"/>
          <w:sz w:val="20"/>
        </w:rPr>
        <w:t xml:space="preserve">3. </w:t>
      </w:r>
      <w:r>
        <w:rPr>
          <w:rFonts w:ascii="Calibri" w:hAnsi="Calibri"/>
          <w:b w:val="0"/>
          <w:color w:val="3A4A28"/>
          <w:sz w:val="20"/>
        </w:rPr>
        <w:t>Continued capital recycling into mixed-use redevelopment under new Chief Innovation &amp; Transformation Officer Will Teichman could unlock incremental NOI from underutilized parcels within the existing 100M-square-foot portfolio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5.81% and GAAP payout ratio above 100% leave little margin if same-property NOI growth decelerates below the guided 3.0-3.5% range or interest rates remain elevated, pressuring refinancing costs on the REIT's debt load (D/E of 84.99%) [1]</w:t>
      </w:r>
    </w:p>
    <w:p>
      <w:pPr>
        <w:spacing w:before="40" w:after="40"/>
        <w:ind w:left="283"/>
      </w:pPr>
      <w:r>
        <w:rPr>
          <w:rFonts w:ascii="Calibri" w:hAnsi="Calibri"/>
          <w:b/>
          <w:color w:val="4A6B25"/>
          <w:sz w:val="20"/>
        </w:rPr>
        <w:t xml:space="preserve">2. </w:t>
      </w:r>
      <w:r>
        <w:rPr>
          <w:rFonts w:ascii="Calibri" w:hAnsi="Calibri"/>
          <w:b w:val="0"/>
          <w:color w:val="3A4A28"/>
          <w:sz w:val="20"/>
        </w:rPr>
        <w:t>Glassdoor culture scores (57% recommend, 3.2/5 for culture and values) and a reported leadership-disengagement complaint suggest talent retention risk during the innovation transformation push [2]</w:t>
      </w:r>
    </w:p>
    <w:p>
      <w:pPr>
        <w:spacing w:before="40" w:after="40"/>
        <w:ind w:left="283"/>
      </w:pPr>
      <w:r>
        <w:rPr>
          <w:rFonts w:ascii="Calibri" w:hAnsi="Calibri"/>
          <w:b/>
          <w:color w:val="4A6B25"/>
          <w:sz w:val="20"/>
        </w:rPr>
        <w:t xml:space="preserve">3. </w:t>
      </w:r>
      <w:r>
        <w:rPr>
          <w:rFonts w:ascii="Calibri" w:hAnsi="Calibri"/>
          <w:b w:val="0"/>
          <w:color w:val="3A4A28"/>
          <w:sz w:val="20"/>
        </w:rPr>
        <w:t>The 2020 dividend cut demonstrates that Kimco's income stream is not immune to macro/consumer shocks, and a renewed retail downturn could again pressure the payout despite the current 5-year streak of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Kimco's business is the physical ownership, leasing, and operation of grocery-anchored open-air shopping centers, an asset class AI cannot digitally substitute. The real disruption risk to retail real estate is e-commerce, and Kimco's necessity-based, grocery-anchored tenant mix is structurally insulated from online substitution — evidenced by record 96.3% occupancy and new-lease spreads of 23.8-40.4% in Q2 2026, showing pricing power is strengthening rather than eroding [1]. No analyst commentary reviewed flags AI substitution risk for grocery-anchored retail landlords. AI Opportunity (0/1): No quantifiable AI-related revenue was identified; Kimco's newly created Chief Innovation &amp; Transformation Officer role is focused on internal process improvement rather than a monetized AI product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Kimco Realty Q2 2026 Earnings Call and Guidance — Investing.com, GuruFocus,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Kimco Realty Leadership and Culture — Glassdoor Reviews, Craft.co Executive Profile, Great Place to Work Certification, 2025-2026</w:t>
      </w:r>
    </w:p>
    <w:p>
      <w:pPr>
        <w:spacing w:before="20" w:after="20"/>
        <w:ind w:left="170"/>
      </w:pPr>
      <w:r>
        <w:rPr>
          <w:rFonts w:ascii="Calibri" w:hAnsi="Calibri"/>
          <w:b/>
          <w:color w:val="4A6B25"/>
          <w:sz w:val="15"/>
        </w:rPr>
        <w:t xml:space="preserve">3. </w:t>
      </w:r>
      <w:r>
        <w:rPr>
          <w:rFonts w:ascii="Calibri" w:hAnsi="Calibri"/>
          <w:b w:val="0"/>
          <w:color w:val="3A4A28"/>
          <w:sz w:val="17"/>
        </w:rPr>
        <w:t>Kimco Realty ESG Disclosures — Kimco Corporate ESG Presentations, Yahoo Finance Sustainability,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KIM Key Statistics and Dividend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