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MRSH</w:t>
      </w:r>
      <w:r>
        <w:rPr>
          <w:rFonts w:ascii="Calibri" w:hAnsi="Calibri"/>
          <w:b/>
          <w:color w:val="1A2010"/>
          <w:sz w:val="40"/>
        </w:rPr>
        <w:t xml:space="preserve">  Marsh McLennan Companies, Inc.</w:t>
      </w:r>
    </w:p>
    <w:p>
      <w:pPr>
        <w:spacing w:after="120"/>
      </w:pPr>
      <w:r>
        <w:rPr>
          <w:rFonts w:ascii="Calibri" w:hAnsi="Calibri"/>
          <w:b/>
          <w:color w:val="6E8450"/>
          <w:sz w:val="18"/>
        </w:rPr>
        <w:t>DIVIDEND SLEEVE · 2026-09-05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Marsh McLennan is the world's largest insurance broker and risk advisor, operating through four businesses: Marsh (insurance brokerage and risk management), Guy Carpenter (reinsurance brokerage), Mercer (workforce and investment consulting), and Oliver Wyman (management consulting). The company reported 2025 full-year revenue of $27.0B (+10% YoY) with adjusted operating income of $7.3B and adjusted EPS of $9.75. Q2 2026 consolidated revenue grew 6.2% to $7.4B with 5% underlying growth. Market cap approximately $89B.</w:t>
      </w:r>
    </w:p>
    <w:p>
      <w:r>
        <w:rPr>
          <w:rFonts w:ascii="Calibri" w:hAnsi="Calibri"/>
          <w:b/>
          <w:color w:val="6E8450"/>
          <w:sz w:val="18"/>
        </w:rPr>
        <w:t>85,000 Employees · https://www.marshmclennan.com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Marsh McLennan completed 20 acquisitions adding $255M of revenue in 2025 and launched the Thrive restructuring program targeting $400M in annualized savings [1]. The McGriff Insurance acquisition expanded the middle-market platform. These are disciplined operational moves but represent acquisition-driven growth rather than transformative innovation or business model reinvention. AI Deployment (1/2): The company has launched its AI Work and Risk Roadmap, combining Marsh's risk expertise with Mercer's workforce analytics to help clients navigate AI adoption risks and workforce transformation [2]. AI has been identified as the most significant operational shift, with management applying AI to enhance client experience and underwriting analysis, though no specific revenue or savings figures have been disclosed. Market Share (2/2): World's largest insurance broker with dominant global market position across insurance brokerage (Marsh), reinsurance (Guy Carpenter), workforce consulting (Mercer), and management consulting (Oliver Wyman), serving clients in 130+ countries [1]. Product Pipeline (1/2): The Thrive program provides near-term operational visibility and the active acquisition pipeline adds growth optionality, but no specific next-generation products with launch dates and revenue visibility have been announced beyond general AI integration plans [1]. R&amp;D Intensity (0/1): Professional services firm with no meaningful formal R&amp;D spend; innovation is embedded within operating expenses rather than separately reported.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Marsh McLennan's purpose — 'making a difference in the moments that matter' — identifies the company's role in helping clients navigate uncertainty and manage risk, but is interchangeable with many professional services peers and lacks a transformative vision of a better future [3]. The mission is thoughtful but does not clearly differentiate or inspire beyond the industry standard. Community Impact (1/2): The company operates the Racial Inclusion and Social Equity (RISE) program welcoming Black fellows from 30+ colleges and universities across the US, UK, and Canada, has endorsed Science Based Targets initiative submissions, and publishes comprehensive ESG reports under 'Empowering Sustainable Futures' [3]. These are meaningful but represent standard large-cap corporate philanthropy. Employee Retention (1/2): Glassdoor rating of 3.9/5 with 76% of employees recommending the company; reviews highlight open culture, approachable executives, and transparent communications [2]. CEO John Q. Doyle leads a management team with stable tenure. Adequate retention indicators for the industry but no standout data.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ROE of 29.35% reflects exceptional capital efficiency for a professional services firm, well above the 15% target [4]. Forward P/E of 17.84x sits below the 20x target, providing valuation discipline. Dividend metrics are outstanding: 17 consecutive years of dividend growth with a 14.12% five-year CAGR and a 10% increase to $0.99 quarterly declared August 2026 (2x weighted items scoring 1.0) [4]. Revenue 5-year CAGR of 8.3% scores 0.89 against the 10% target. Q2 2026 revenue growth of 6.2% (with 5% underlying) scores 0.90 against the 10% YoY target [1]. The primary drags are D/E of 140% (scoring 0.70, elevated from acquisition financing) and profit margin of 17% (scoring 0.85, below the 20% target but strong for professional services). Payout ratio of approximately 42% is slightly above the 40% ideal. Liquidity floor easily cleared with ~$420M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Marsh McLennan is a 120+ year-old company that has demonstrated remarkable longevity through steady evolution rather than transformative reinvention. The firm diversified from pure insurance broking into reinsurance (Guy Carpenter), HR consulting (Mercer), and management consulting (Oliver Wyman), but these moves were incremental over decades. The Thrive restructuring program's focus on $400M in cost savings suggests near-term optimization thinking, while the 17-year dividend growth streak and consistent margin expansion reflect longer-term operational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Marsh McLennan's purpose of 'making a difference in the moments that matter' is a corporate tagline rather than a Just Cause Sinek would recognize [3]. The company's 120+ year history demonstrates remarkable endurance, but strategic narrative centers on revenue growth, adjusted EPS, margin expansion, and capital allocation — finite metrics — rather than an idealistic vision of a better future that inspires sacrifice [1]. The purpose is interchangeable with any peer advisory firm.</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76% recommendation rate indicates an adequate work environment [2]. Employees cite open culture and approachable executives as positives, and the management team shows stable tenure under CEO Doyle. However, employee feedback also flags high focus on operational efficiencies with limited focus on new revenue opportunities, suggesting cost-driven management priorities. No evidence of exceptional psychological safety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Marsh McLennan acknowledges competitive threats from Insurtech startups and technology companies seeking to disintermediate traditional brokers, and has responded by investing in AI capabilities and digital tools rather than dismissing new entrants [2]. The company's competitive language focuses on serving clients and building distinctive capabilities across risk, strategy, and people rather than defeating specific competitors like Aon or WTW.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Marsh McLennan has evolved over 120+ years from a pure insurance brokerage into a diversified professional services platform spanning insurance (Marsh), reinsurance (Guy Carpenter), HR consulting (Mercer), and management consulting (Oliver Wyman) [1]. The McGriff acquisition expanded the middle-market platform, and the AI Work and Risk Roadmap represents adaptation to new market demands. These changes are significant but incremental over decades — not transformative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Thrive restructuring program committing to $400M in annualized savings demonstrates willingness to invest in organizational change, and the company completed 20 acquisitions in 2025 while maintaining discipline in returning $3.7B to shareholders [1]. However, with 18 consecutive years of margin expansion, these decisions carry relatively low risk — true courage would involve sacrificing near-term earnings for long-term capability, which is not evident in a company optimizing an already-working formula.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Marsh McLennan at 17.84x forward earnings offers reasonable value for the world's largest insurance broker, with Q2 2026 revenue of $7.4B (+6.2% YoY, 5% underlying) demonstrating steady growth momentum [1]. The Thrive restructuring program targeting $400M in annualized savings should drive further margin expansion beyond the 18 consecutive years already achieved. The dividend profile is exceptional: 17 consecutive years of growth with a 14.12% five-year CAGR, and a 10% increase to $3.96 annually declared in August 2026 [4]. ROE of 29.35% reflects strong capital efficiency, and the $89B market cap provides deep liquidity. The insurance broking model generates highly recurring revenue with 90%+ client retention rates, and Marsh's dominant market position creates pricing power in a consolidating industry.</w:t>
      </w:r>
    </w:p>
    <w:p>
      <w:pPr>
        <w:spacing w:after="120"/>
      </w:pPr>
      <w:r>
        <w:rPr>
          <w:rFonts w:ascii="Calibri" w:hAnsi="Calibri"/>
          <w:b w:val="0"/>
          <w:color w:val="3A4A28"/>
          <w:sz w:val="20"/>
        </w:rPr>
        <w:t>The bear case centers on decelerating growth momentum and moderate leverage. Revenue growth has slowed from 10.3% in full-year 2025 to 6.2% in Q2 2026, with underlying organic growth of only 5% — suggesting the acquisition-driven boost is fading [1]. Q1 2026 EPS declined to $2.37 from $2.81 in Q1 2025, indicating lumpy quarterly earnings. D/E of 140% reflects acquisition-funded leverage that could constrain flexibility in a downturn. PEG ratio of 2.68 suggests the market prices in sustained growth that may prove difficult as the company scales beyond $27B in revenue [4]. Oliver Wyman's management consulting and portions of Mercer face AI disruption risk as analytical advisory work becomes increasingly automatable [2]. The Inspire Impact Score of 0 (MIXED) with no attributions provides no signal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Thrive restructuring program delivering $400M in annualized cost savings, potentially driving 100-200bps of additional margin expansion over the next 12-18 months on top of the existing 18-year streak [1]</w:t>
      </w:r>
    </w:p>
    <w:p>
      <w:pPr>
        <w:spacing w:before="40" w:after="40"/>
        <w:ind w:left="283"/>
      </w:pPr>
      <w:r>
        <w:rPr>
          <w:rFonts w:ascii="Calibri" w:hAnsi="Calibri"/>
          <w:b/>
          <w:color w:val="4A6B25"/>
          <w:sz w:val="20"/>
        </w:rPr>
        <w:t xml:space="preserve">2. </w:t>
      </w:r>
      <w:r>
        <w:rPr>
          <w:rFonts w:ascii="Calibri" w:hAnsi="Calibri"/>
          <w:b w:val="0"/>
          <w:color w:val="3A4A28"/>
          <w:sz w:val="20"/>
        </w:rPr>
        <w:t>AI Work and Risk Roadmap positioning Marsh McLennan as the premier advisor for organizations navigating AI adoption risks, workforce transformation, and regulatory compliance — a rapidly growing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with 14.12% five-year CAGR and 10% increase declared August 2026, supported by a 42% payout ratio with room for future increases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10.3% (FY2025) to 6.2% (Q2 2026) with underlying organic growth of only 5% suggests momentum is slowing toward mid-single digits, which may not support the 22x trailing PE if the trend continues [1]</w:t>
      </w:r>
    </w:p>
    <w:p>
      <w:pPr>
        <w:spacing w:before="40" w:after="40"/>
        <w:ind w:left="283"/>
      </w:pPr>
      <w:r>
        <w:rPr>
          <w:rFonts w:ascii="Calibri" w:hAnsi="Calibri"/>
          <w:b/>
          <w:color w:val="4A6B25"/>
          <w:sz w:val="20"/>
        </w:rPr>
        <w:t xml:space="preserve">2. </w:t>
      </w:r>
      <w:r>
        <w:rPr>
          <w:rFonts w:ascii="Calibri" w:hAnsi="Calibri"/>
          <w:b w:val="0"/>
          <w:color w:val="3A4A28"/>
          <w:sz w:val="20"/>
        </w:rPr>
        <w:t>Oliver Wyman's management consulting and Mercer's analytical advisory work face AI disruption as strategic frameworks, research, and workforce planning become increasingly commoditized by AI tools [2]</w:t>
      </w:r>
    </w:p>
    <w:p>
      <w:pPr>
        <w:spacing w:before="40" w:after="40"/>
        <w:ind w:left="283"/>
      </w:pPr>
      <w:r>
        <w:rPr>
          <w:rFonts w:ascii="Calibri" w:hAnsi="Calibri"/>
          <w:b/>
          <w:color w:val="4A6B25"/>
          <w:sz w:val="20"/>
        </w:rPr>
        <w:t xml:space="preserve">3. </w:t>
      </w:r>
      <w:r>
        <w:rPr>
          <w:rFonts w:ascii="Calibri" w:hAnsi="Calibri"/>
          <w:b w:val="0"/>
          <w:color w:val="3A4A28"/>
          <w:sz w:val="20"/>
        </w:rPr>
        <w:t>Elevated D/E of 140% from acquisition-funded growth constrains financial flexibility and increases interest expense sensitivity in a higher-for-longer rate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Marsh McLennan's core insurance brokerage business is structurally protected by deep client relationships, regulatory complexity across 130+ countries, proprietary risk data, and institutional trust built over 120+ years [1]. Insurance placement requires human judgment on complex, bespoke risks that AI cannot fully automate. However, Oliver Wyman's management consulting and portions of Mercer's HR advisory face moderate AI exposure as AI tools increasingly commoditize research, analytical frameworks, and workforce planning [2]. The company itself recognizes threats from Insurtech startups and technology companies seeking to disintermediate traditional players through AI, blockchain, and digital platforms. AI Opportunity (1/1): Marsh McLennan generates revenue from AI-related advisory services through its AI Work and Risk Roadmap product, combining Marsh's risk expertise with Mercer's workforce analytics to help organizations navigate AI adoption risks, workforce transformation, and regulatory compliance [2]. AI has been identified as the company's top operational priority, and advisory services around AI risk management represent a growing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Marsh McLennan Q4 2025 Earnings Transcript and Q2 2026 Results — Full-Year 2025 Revenue $27.0B (+10%), Adjusted Operating Income $7.3B, Adjusted EPS $9.75 (+9%), Q2 2026 Revenue $7.4B (+6.2%), Thrive $400M Target — The Motley Fool, Simply Wall St, January-July 2026</w:t>
      </w:r>
    </w:p>
    <w:p>
      <w:pPr>
        <w:spacing w:before="20" w:after="20"/>
        <w:ind w:left="170"/>
      </w:pPr>
      <w:r>
        <w:rPr>
          <w:rFonts w:ascii="Calibri" w:hAnsi="Calibri"/>
          <w:b/>
          <w:color w:val="4A6B25"/>
          <w:sz w:val="15"/>
        </w:rPr>
        <w:t xml:space="preserve">2. </w:t>
      </w:r>
      <w:r>
        <w:rPr>
          <w:rFonts w:ascii="Calibri" w:hAnsi="Calibri"/>
          <w:b w:val="0"/>
          <w:color w:val="3A4A28"/>
          <w:sz w:val="17"/>
        </w:rPr>
        <w:t>Marsh McLennan AI Strategy, Leadership, and Culture — AI Work and Risk Roadmap, CEO Doyle Vision, Glassdoor 3.9/5, Insurtech Disruption Risk — Sahm Capital, Built In,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Marsh McLennan ESG Report 'Empowering Sustainable Futures' — RISE Program, Science Based Targets, ESG Committee Governance — Insurance Business America, Corporate Website, 2023-2024</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Yahoo Finance — MRSH Key Statistics: Forward P/E 17.84x, ROE 29.35%, D/E 140%, Profit Margin 17%, Dividend Yield 2.1%, 5yr Dividend Growth 14.12%, Stock Price $182.15,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