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NRIX</w:t>
      </w:r>
      <w:r>
        <w:rPr>
          <w:rFonts w:ascii="Calibri" w:hAnsi="Calibri"/>
          <w:b/>
          <w:color w:val="1A2010"/>
          <w:sz w:val="40"/>
        </w:rPr>
        <w:t xml:space="preserve">  Nurix Therapeutics, Inc.</w:t>
      </w:r>
    </w:p>
    <w:p>
      <w:pPr>
        <w:spacing w:after="120"/>
      </w:pPr>
      <w:r>
        <w:rPr>
          <w:rFonts w:ascii="Calibri" w:hAnsi="Calibri"/>
          <w:b/>
          <w:color w:val="6E8450"/>
          <w:sz w:val="18"/>
        </w:rPr>
        <w:t>GROWTH SLEEVE · 2026-09-26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Nurix Therapeutics is a clinical-stage biopharmaceutical company pioneering degrader-based medicine through targeted protein degradation. The company's proprietary DEL-AI Discovery Engine leverages machine learning across a library of over 5 billion unique DEL compounds to predict novel binders for disease-relevant protein targets and E3 ligase proteins. Lead candidate bexobrutideg (BTK degrader) is in the pivotal Phase 2 DAYBreak CLL-201 trial for chronic lymphocytic leukemia. In July 2026, Nurix's global collaboration with Roche (up to $2.3B including a $700M upfront payment) formally closed following HSR antitrust clearance. FY2025 (ended November 30, 2025) revenue was $84.0M, up from $54.5M in FY2024, driven by Sanofi license extension milestones; the company carries a $1.1B+ accumulated deficit and is headquartered in San Francisco/Brisbane, California.</w:t>
      </w:r>
    </w:p>
    <w:p>
      <w:r>
        <w:rPr>
          <w:rFonts w:ascii="Calibri" w:hAnsi="Calibri"/>
          <w:b/>
          <w:color w:val="6E8450"/>
          <w:sz w:val="18"/>
        </w:rPr>
        <w:t>317 Employees · https://www.nurixtx.com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Nurix has advanced from a pure discovery-stage company to a clinical-stage biotech with a validated platform, culminating in the Roche global collaboration for bexobrutideg (up to $2.3B, $700M upfront) that formally closed in July 2026 after HSR clearance [2]. This is one significant partnership that opened a major new capital and validation stream, though no product has yet reached market approval. AI Deployment (2/2): The DEL-AI Discovery Engine is a fully AI-integrated drug discovery platform — machine learning models trained on over 5 billion unique DEL compounds predict novel binders for nearly any disease-relevant protein target, directly enabling the pipeline that attracted Roche, Sanofi, Pfizer, and Gilead as partners [2]. Market Share (1/2): Nurix is a meaningful player in targeted protein degradation alongside Arvinas, Kymera Therapeutics, and C4 Therapeutics, but is not yet the dominant category leader. Product Pipeline (2/2): Bexobrutideg is in the pivotal DAYBreak CLL-201 Phase 2 trial and the NX-5948-301 Phase 1a/1b trial, with Roche milestone payments providing specific near-term financial visibility on top of ongoing Sanofi (research milestones of $7.0M in FY2025, $2M in Q2 FY2026) and Pfizer ($5.0M in FY2025) collaboration revenue [1][2]. R&amp;D Intensity (1/1): FY2025 R&amp;D expense of $316.9M (up from $221.6M in FY2024) dramatically exceeds total revenue, reflecting top-tier R&amp;D intensity as the company accelerates pivotal trial enrollment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'Medicines to Outmatch Disease' is a specific and thoughtful purpose connecting Nurix's degrader platform to a vision of treating diseases previously considered undruggable, and the mission has directly shaped a decade of platform investment [2]. Community Impact (1/2): Nurix was selected as a Cancer Grand Challenges awardee to address pediatric cancers using targeted protein degradation, a distinctive scientific contribution beyond commercial programs [3]. Employee Retention (0/2): With 317 employees in a competitive Bay Area biotech labor market, no specific turnover or tenure data is publicly available to support a positive score. Insider Buying (0/2): Insider activity is net negative — Chief Legal Officer Christine Ring sold 5,394 shares for ~$90,000 in May 2026 and separately sold 11,008 option-exercise shares at a weighted average price of $23.56, part of 22 total insider sells over the trailing year with no insider buys and approximately $1.7M in net insider selling in the most recent three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on available metrics only; Forward P/E, PEG, and profit margin are excluded as not meaningful for a pre-revenue, deep-loss clinical-stage biotech (forward P/E is mathematically negative at -21.6x) and 5-year revenue CAGR is excluded because collaboration/license revenue is too lumpy (FY2025 revenue grew 54% to $84.0M on Sanofi milestones, while the most recent quarter fell 80% as those one-time payments rolled off) [1][5]. Of the three metrics retained: D/E of 14.4% is well below the 70% target (score 1.0, 1x weight); ROE of -80.3% sits at the negative floor (score 0.0, 2x weight); and revenue growth YoY of -79.5% is below the -20% floor (score 0.0, 1x weight) due to the Sanofi milestone rolloff. Weighted sum of 1.0 across 4 weight units yields an Infrastructure score of 2 (1.0/4*10=2.5, rounded down). Liquidity is not a constraint: average daily volume of ~1.35M shares at $23.01 equals ~$31M in daily dollar turnover,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Nurix demonstrates genuine infinite game characteristics for a clinical-stage biotech: a purpose-driven mission to pioneer degrader-based medicine, sustained heavy R&amp;D investment ($316.9M in FY2025) through years of losses, and a willingness to co-develop bexobrutideg with Roche rather than go it alone. The DEL-AI platform is a long-term capability investment transcending any single drug candidate. However, the 10-year operating history is too short to validate enduring commitment through a major crisis, and consistent net insider selling introduces a note of caution about internal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'Medicines to Outmatch Disease' through targeted protein degradation connects Nurix's work to treating diseases current medicine cannot address, and the decade-long investment in the DEL-AI platform through $1.1B+ in accumulated losses demonstrates the purpose shapes strategy [2]. The Cancer Grand Challenges pediatric cancer award extends the mission beyond commercial interests [3]. The cause remains untested through clinical failure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Nurix's 317-person team operates under CEO Arthur Sands (MD, PhD), with continuity of key scientific leadership through the company's evolution from research to pivotal-stage clinical development in an intensely competitive Bay Area talent market [2]. No specific employee satisfaction, tenure, or voluntary turnover data is publicly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Nurix openly acknowledges the competitive landscape in targeted protein degradation — Arvinas, Kymera Therapeutics, and C4 Therapeutics pursue similar biology — and frames the Roche partnership as platform validation rather than a competitive victory, sharpening its own discovery-engine differentiation in response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Nurix evolved from a pure discovery-stage research company to a clinical-stage biotech with a validated AI platform, and the July 2026 Roche global collaboration — sharing 40%/60% development costs and 50/50 U.S. commercialization economics — shows willingness to trade full ownership for capital and development capability [2]. The core discover-and-develop-degraders business model has remained consistent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Nurix sustained $316.9M in FY2025 R&amp;D spending against a fraction of that in revenue, accumulating $1.1B+ in losses to advance the DEL-AI platform and pivotal bexobrutideg trial [1]. Securing $700M upfront from Roche to fund the pivotal trial without further shareholder dilution reflects disciplined capital allocation, though this follows standard biotech financing patterns rather than representing exceptional risk-taking.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$2.3B Roche global collaboration for bexobrutideg (including a $700M upfront payment) formally closed in July 2026 following HSR antitrust clearance, validating Nurix's DEL-AI drug discovery platform and de-risking the pivotal DAYBreak CLL-201 trial with a top-5 global pharma partner sharing 60% of U.S. development costs [2]. FY2025 revenue grew 54% to $84.0M on Sanofi license extension milestones, and the Innovation score of 8 reflects the rare combination of AI-native drug discovery (5B+ DEL compound library), a pivotal-stage clinical pipeline, and validation from four major pharma partners (Gilead, Sanofi, Pfizer, Roche) [1][2]. The Cancer Grand Challenges pediatric cancer award further demonstrates scientific leadership beyond core commercial programs [3].</w:t>
      </w:r>
    </w:p>
    <w:p>
      <w:pPr>
        <w:spacing w:after="120"/>
      </w:pPr>
      <w:r>
        <w:rPr>
          <w:rFonts w:ascii="Calibri" w:hAnsi="Calibri"/>
          <w:b w:val="0"/>
          <w:color w:val="3A4A28"/>
          <w:sz w:val="20"/>
        </w:rPr>
        <w:t>The bear case centers on clinical risk and revenue volatility. Collaboration revenue fell sharply in the most recent quarters ($9.0M in Q2 FY2026 vs. $44.1M a year earlier; $6.3M in Q1 FY2026 vs. $18.5M) as the prior-year Sanofi milestone payments rolled off, and FY2025 R&amp;D spending of $316.9M dwarfs revenue, driving deeply negative ROE (-80.3%) and a mechanically calculated Infrastructure score of just 2 [1][5]. Bexobrutideg faces intense competition from established covalent BTK inhibitors and next-generation degraders from Arvinas and Kymera — clinical superiority in the pivotal trial is essential to justify the Roche partnership's economics. Persistent net insider selling by the Chief Legal Officer, with no offsetting insider buying over the trailing year, tempers confidence signals from within the company [4]. Any Phase 2 clinical failure or unexpected toxicity would eliminate the primary investment thesis for this pre-commercial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Pivotal DAYBreak CLL-201 trial data readout for bexobrutideg establishing best-in-class BTK degrader efficacy and safety would validate the $2.3B Roche collaboration economics now that HSR clearance has closed the deal [2]</w:t>
      </w:r>
    </w:p>
    <w:p>
      <w:pPr>
        <w:spacing w:before="40" w:after="40"/>
        <w:ind w:left="283"/>
      </w:pPr>
      <w:r>
        <w:rPr>
          <w:rFonts w:ascii="Calibri" w:hAnsi="Calibri"/>
          <w:b/>
          <w:color w:val="4A6B25"/>
          <w:sz w:val="20"/>
        </w:rPr>
        <w:t xml:space="preserve">2. </w:t>
      </w:r>
      <w:r>
        <w:rPr>
          <w:rFonts w:ascii="Calibri" w:hAnsi="Calibri"/>
          <w:b w:val="0"/>
          <w:color w:val="3A4A28"/>
          <w:sz w:val="20"/>
        </w:rPr>
        <w:t>Ongoing Sanofi, Pfizer, and Gilead collaboration milestones ($7.0M, $5.0M, and $5.0M respectively achieved in FY2025) provide additional non-dilutive capital independent of the Roche partnership [1]</w:t>
      </w:r>
    </w:p>
    <w:p>
      <w:pPr>
        <w:spacing w:before="40" w:after="40"/>
        <w:ind w:left="283"/>
      </w:pPr>
      <w:r>
        <w:rPr>
          <w:rFonts w:ascii="Calibri" w:hAnsi="Calibri"/>
          <w:b/>
          <w:color w:val="4A6B25"/>
          <w:sz w:val="20"/>
        </w:rPr>
        <w:t xml:space="preserve">3. </w:t>
      </w:r>
      <w:r>
        <w:rPr>
          <w:rFonts w:ascii="Calibri" w:hAnsi="Calibri"/>
          <w:b w:val="0"/>
          <w:color w:val="3A4A28"/>
          <w:sz w:val="20"/>
        </w:rPr>
        <w:t>Cancer Grand Challenges award for pediatric cancers using targeted protein degradation expands platform application into high-unmet-need oncology indications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Bexobrutideg pivotal trial failure or unexpected adverse events would eliminate the primary investment thesis given the company's pre-commercial, cash-burning stage [1]</w:t>
      </w:r>
    </w:p>
    <w:p>
      <w:pPr>
        <w:spacing w:before="40" w:after="40"/>
        <w:ind w:left="283"/>
      </w:pPr>
      <w:r>
        <w:rPr>
          <w:rFonts w:ascii="Calibri" w:hAnsi="Calibri"/>
          <w:b/>
          <w:color w:val="4A6B25"/>
          <w:sz w:val="20"/>
        </w:rPr>
        <w:t xml:space="preserve">2. </w:t>
      </w:r>
      <w:r>
        <w:rPr>
          <w:rFonts w:ascii="Calibri" w:hAnsi="Calibri"/>
          <w:b w:val="0"/>
          <w:color w:val="3A4A28"/>
          <w:sz w:val="20"/>
        </w:rPr>
        <w:t>Collaboration revenue is highly lumpy and milestone-dependent — quarterly revenue fell 80% YoY in Q2 FY2026 as prior-year Sanofi milestones rolled off, making near-term financial metrics volatile and hard to forecast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Arvinas, Kymera, and C4 Therapeutics in targeted protein degradation could compress bexobrutideg's peak revenue potential even with clinical success, while persistent net insider selling offers no internal conviction signal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structurally protected from AI disruption — FDA regulatory requirements mandate physical clinical trials, manufacturing involves complex biological processes, and the discovery-to-approval path spans 8-15 years with enormous capital requirements that AI cannot substitute for [2]. Nurix's specific moat — E3 ligase biology expertise, proprietary DEL compound libraries, and a pivotal-stage clinical asset now co-owned with Roche — represents accumulated know-how AI cannot replicate, though AI could accelerate rival degrader programs at Arvinas, Kymera, and C4 Therapeutics. AI Opportunity (1/1): The DEL-AI Discovery Engine is foundational to Nurix's business model, using ML models trained on 5B+ DEL compounds to predict protein binders, directly enabling the pipeline that secured licensing deals with Gilead, Sanofi, Pfizer, and now the $2.3B Roche collaboration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Nurix Therapeutics FY2025 10-K, Q1/Q2 FY2026 10-Q and 8-K Financial Results — SEC filings, Nurix IR, 2025-2026</w:t>
      </w:r>
    </w:p>
    <w:p>
      <w:pPr>
        <w:spacing w:before="20" w:after="20"/>
        <w:ind w:left="170"/>
      </w:pPr>
      <w:r>
        <w:rPr>
          <w:rFonts w:ascii="Calibri" w:hAnsi="Calibri"/>
          <w:b/>
          <w:color w:val="4A6B25"/>
          <w:sz w:val="15"/>
        </w:rPr>
        <w:t xml:space="preserve">2. </w:t>
      </w:r>
      <w:r>
        <w:rPr>
          <w:rFonts w:ascii="Calibri" w:hAnsi="Calibri"/>
          <w:b w:val="0"/>
          <w:color w:val="3A4A28"/>
          <w:sz w:val="17"/>
        </w:rPr>
        <w:t>Roche-Nurix $2.3B Global Collaboration for Bexobrutideg (HSR clearance closed July 2026) — Nurix IR, PharmExec, OncoDaily, 2026</w:t>
      </w:r>
    </w:p>
    <w:p>
      <w:pPr>
        <w:spacing w:before="20" w:after="20"/>
        <w:ind w:left="170"/>
      </w:pPr>
      <w:r>
        <w:rPr>
          <w:rFonts w:ascii="Calibri" w:hAnsi="Calibri"/>
          <w:b/>
          <w:color w:val="4A6B25"/>
          <w:sz w:val="15"/>
        </w:rPr>
        <w:t xml:space="preserve">3. </w:t>
      </w:r>
      <w:r>
        <w:rPr>
          <w:rFonts w:ascii="Calibri" w:hAnsi="Calibri"/>
          <w:b w:val="0"/>
          <w:color w:val="3A4A28"/>
          <w:sz w:val="17"/>
        </w:rPr>
        <w:t>Nurix Cancer Grand Challenges Pediatric Cancer Award — Company press release, 2025-2026</w:t>
      </w:r>
    </w:p>
    <w:p>
      <w:pPr>
        <w:spacing w:before="20" w:after="20"/>
        <w:ind w:left="170"/>
      </w:pPr>
      <w:r>
        <w:rPr>
          <w:rFonts w:ascii="Calibri" w:hAnsi="Calibri"/>
          <w:b/>
          <w:color w:val="4A6B25"/>
          <w:sz w:val="15"/>
        </w:rPr>
        <w:t xml:space="preserve">4. </w:t>
      </w:r>
      <w:r>
        <w:rPr>
          <w:rFonts w:ascii="Calibri" w:hAnsi="Calibri"/>
          <w:b w:val="0"/>
          <w:color w:val="3A4A28"/>
          <w:sz w:val="17"/>
        </w:rPr>
        <w:t>Nurix Insider Trading Activity — CLO Christine Ring share sales, GuruFocus, StockTitan, Motley Fool, May-June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NRIX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