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OVV</w:t>
      </w:r>
      <w:r>
        <w:rPr>
          <w:rFonts w:ascii="Calibri" w:hAnsi="Calibri"/>
          <w:b/>
          <w:color w:val="1A2010"/>
          <w:sz w:val="40"/>
        </w:rPr>
        <w:t xml:space="preserve">  Ovintiv Inc.</w:t>
      </w:r>
    </w:p>
    <w:p>
      <w:pPr>
        <w:spacing w:after="120"/>
      </w:pPr>
      <w:r>
        <w:rPr>
          <w:rFonts w:ascii="Calibri" w:hAnsi="Calibri"/>
          <w:b/>
          <w:color w:val="6E8450"/>
          <w:sz w:val="18"/>
        </w:rPr>
        <w:t>GROWTH SLEEVE · 2026-08-26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Ovintiv is a North American oil and natural gas exploration and production company operating in the Permian Basin (West Texas) and the Montney formation (Alberta/British Columbia). Under CEO Brendan McCracken (since 2021), the company has executed a multi-year portfolio transformation — acquiring Paramount Resources' Montney assets (November 2024, ~900 locations) and NuVista Energy's Montney assets (November 2025, ~930 locations) while divesting its Anadarko position for $3.0 billion — to concentrate on a focused two-basin, higher-return asset base [1]. Q2 2026 results showed debt reduction and boosted shareholder returns, with full-year 2026 production guidance of 630-645 MBOE/d and capital investment under $2.5 billion.</w:t>
      </w:r>
    </w:p>
    <w:p>
      <w:r>
        <w:rPr>
          <w:rFonts w:ascii="Calibri" w:hAnsi="Calibri"/>
          <w:b/>
          <w:color w:val="6E8450"/>
          <w:sz w:val="18"/>
        </w:rPr>
        <w:t>1,465 Employees · https://www.ovintiv.com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Ovintiv executed a genuine multi-year portfolio transformation — the $3.0B Anadarko divestiture combined with sequential Montney acquisitions from Paramount (2024) and NuVista (2025) — that redefined the company from a diversified multi-basin operator into a focused Permian-plus-Montney producer [1]. AI Deployment (1/2): The company describes using 'advanced analytics and artificial intelligence to optimize drilling and completions parameters in real time, accelerate cycle times, and proactively identify risks,' a concrete operational AI use case, but no specific dollar figure for cost savings or efficiency gains was disclosed [2]. Market Share (0/2): No specific market share leadership or share-gain data was found in research; E&amp;P companies compete on basin economics rather than branded market share. Product Pipeline (1/2): 2026 guidance includes specific production volume targets (630-645 MBOE/d) and a capital investment ceiling (&lt;$2.5B), giving numeric visibility, though this is operational guidance rather than a named next-generation product pipeline [1]. R&amp;D Intensity (0/1): No R&amp;D-to-revenue data or industry comparison exists for this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purpose or vision statement beyond standard energy-company language (efficient, responsible resource development) was found in research; public messaging centers on portfolio optimization, debt reduction, and shareholder returns rather than an articulated purpose. Community Impact (0/2): No evidence of charitable programs or community investment with specific figures was found. Employee Retention (0/2): No tenure or turnover data is available for the 1,465-person workforce. Insider Buying (0/2): No evidence of net insider buying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(dividend yield of 1.86% is below the 2% Dividend-sleeve threshold). D/E of 43.7% and Forward P/E of 8.82x both clear their targets comfortably, and quarterly revenue growth of 29.7% YoY (Montney acquisition-driven) scores at ceiling. ROE of 8.41% and profit margin of 9.66% are both moderate, well below their respective 15% and 20% targets. Forward PEG of 1.85 is above the 1.0 target, reflecting a valuation that isn't especially cheap relative to guided earnings growth. The primary drag is a negative 3-year revenue CAGR of approximately -10.4% (best available proxy for the 5yr metric), which reflects the deliberate divestiture of Anadarko and other non-core assets as part of the Montney-focused portfolio transformation rather than organic demand weakness — the metric still floors at 0 under the mechanical formula despite the strategic rationale [1]. Liquidity is not a constraint: ~3.3M average daily shares at $64.40 clears roughly $215M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Ovintiv under CEO Brendan McCracken has executed a genuinely decisive multi-year portfolio transformation — the $3.0B Anadarko divestiture paired with sequential Montney acquisitions from Paramount and NuVista — showing real capital-allocation conviction, and the company cites a 'leading health and safety culture' as a stated value. But the public narrative is dominated by shareholder-return and debt-reduction framing rather than a service-oriented Just Cause, and a 2024 EPA enforcement settlement over Uinta Basin methane and VOC emissions sits uncomfortably against the company's own sustainability messaging about eliminating routine flaring.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Ovintiv's public strategy is framed around portfolio optimization, cost discipline, and 'boosted shareholder returns' rather than a resilient, service-oriented cause; the company's stated safety culture is a genuine positive but does not rise to an idealistic vision of a future state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Brendan McCracken (since 2021) is credited with establishing 'a leading health and safety culture,' and the company runs an unusually compact five-member executive team with centralized operations under a single COO, suggesting a deliberate, aligned leadership structure, but no employee tenure or turnover data was found to confirm broader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collaborative or self-improvement competitive language toward other Permian or Montney operators was found in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a diversified multi-basin operator (Permian, Anadarko, Uinta, Montney) to a focused Permian-and-Montney portfolio via the Anadarko divestiture and consecutive Montney acquisitions is meaningful strategic reshaping, but it remains within the same core oil-and-gas E&amp;P business model rather than a transformative pivot into a new domain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Executing a $3.0B divestiture of the Anadarko position while simultaneously committing capital to two sequential Montney acquisitions (Paramount in 2024, NuVista in 2025) reflects a repeated pattern of decisive, multi-billion-dollar capital allocation bets made to reposition the company for long-term basin economics rather than short-term production maximization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Ovintiv trades at a modest 8.82x forward earnings after completing a multi-year portfolio transformation — divesting its Anadarko position for $3.0 billion while adding high-quality Montney inventory through the Paramount (2024) and NuVista (2025) acquisitions — concentrating the company on two of North America's most economic basins [1]. Q2 2026 results showed debt reduction and increased shareholder returns, D/E of 43.7% is comfortably below the 70% target, and the company is deploying AI-driven drilling and completions optimization to improve cycle times and reduce risk in real time [1][2]. The Inspire Impact Score of 38 (ALIGNED) reflects strong marks on air quality, GHG emissions, and ethical labor practices, and AI Resilience is exceptionally strong (8/9 risk protection) given the physical, AI-immune nature of hydrocarbon extraction.</w:t>
      </w:r>
    </w:p>
    <w:p>
      <w:pPr>
        <w:spacing w:after="120"/>
      </w:pPr>
      <w:r>
        <w:rPr>
          <w:rFonts w:ascii="Calibri" w:hAnsi="Calibri"/>
          <w:b w:val="0"/>
          <w:color w:val="3A4A28"/>
          <w:sz w:val="20"/>
        </w:rPr>
        <w:t>The bear case centers on modest core profitability and mixed growth optics: ROE of 8.41% and profit margin of 9.66% both sit well below Infrastructure targets, and the 3-year revenue CAGR is negative (~-10.4%) because the Anadarko/Uinta divestitures shrank the reported revenue base even as the remaining Permian-Montney portfolio is higher-quality — a distinction the mechanical scoring algorithm cannot capture. Forward PEG of 1.85 suggests the stock is not particularly cheap relative to near-term earnings growth expectations despite the low absolute P/E multiple typical of commodity producers. Dividend growth has stalled — the payout has been flat at $0.30/quarter since 2023, yielding a 5yr dividend CAGR near 0% — and Inspiration evidence is thin, with no distinctive mission, community, retention, or insider-buying data identified. A 2024 EPA enforcement settlement over Uinta Basin methane and VOC emissions (illegal releases contributing to respiratory illness and climate impact) sits in tension with the company's own claims of eliminating routine flaring ahead of World Bank targets, an execution gap faith-based and ESG-conscious investors should weigh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NuVista's ~930 Montney locations (acquired November 2025) alongside the 2024 Paramount Montney assets, targeting GP&amp;T and capital efficiency synergies across the combined position [1]</w:t>
      </w:r>
    </w:p>
    <w:p>
      <w:pPr>
        <w:spacing w:before="40" w:after="40"/>
        <w:ind w:left="283"/>
      </w:pPr>
      <w:r>
        <w:rPr>
          <w:rFonts w:ascii="Calibri" w:hAnsi="Calibri"/>
          <w:b/>
          <w:color w:val="4A6B25"/>
          <w:sz w:val="20"/>
        </w:rPr>
        <w:t xml:space="preserve">2. </w:t>
      </w:r>
      <w:r>
        <w:rPr>
          <w:rFonts w:ascii="Calibri" w:hAnsi="Calibri"/>
          <w:b w:val="0"/>
          <w:color w:val="3A4A28"/>
          <w:sz w:val="20"/>
        </w:rPr>
        <w:t>Continued debt reduction and shareholder return increases following the $3.0B Anadarko divestiture, which management highlighted as a Q2 2026 theme [1]</w:t>
      </w:r>
    </w:p>
    <w:p>
      <w:pPr>
        <w:spacing w:before="40" w:after="40"/>
        <w:ind w:left="283"/>
      </w:pPr>
      <w:r>
        <w:rPr>
          <w:rFonts w:ascii="Calibri" w:hAnsi="Calibri"/>
          <w:b/>
          <w:color w:val="4A6B25"/>
          <w:sz w:val="20"/>
        </w:rPr>
        <w:t xml:space="preserve">3. </w:t>
      </w:r>
      <w:r>
        <w:rPr>
          <w:rFonts w:ascii="Calibri" w:hAnsi="Calibri"/>
          <w:b w:val="0"/>
          <w:color w:val="3A4A28"/>
          <w:sz w:val="20"/>
        </w:rPr>
        <w:t>Expanded deployment of AI-driven real-time drilling and completions optimization to further reduce cycle times and capital intensity across the Permian and Montney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volatility remains the dominant swing factor for an E&amp;P producer regardless of portfolio quality, and 2026 guidance of 630-645 MBOE/d at &lt;$2.5B capex assumes a stable price environment [1]</w:t>
      </w:r>
    </w:p>
    <w:p>
      <w:pPr>
        <w:spacing w:before="40" w:after="40"/>
        <w:ind w:left="283"/>
      </w:pPr>
      <w:r>
        <w:rPr>
          <w:rFonts w:ascii="Calibri" w:hAnsi="Calibri"/>
          <w:b/>
          <w:color w:val="4A6B25"/>
          <w:sz w:val="20"/>
        </w:rPr>
        <w:t xml:space="preserve">2. </w:t>
      </w:r>
      <w:r>
        <w:rPr>
          <w:rFonts w:ascii="Calibri" w:hAnsi="Calibri"/>
          <w:b w:val="0"/>
          <w:color w:val="3A4A28"/>
          <w:sz w:val="20"/>
        </w:rPr>
        <w:t>Negative 3-year revenue CAGR (~-10.4%) driven by the Anadarko/Uinta divestitures could weigh on headline growth optics even as underlying per-location economics improve, creating a disconnect that may confuse growth-oriented screens [1]</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exposure demonstrated by the 2024 EPA settlement over Uinta Basin methane/VOC emissions, underscoring ongoing compliance risk even as the company touts flaring-elimination achievements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commodity business that AI cannot structurally displace — no analyst commentary in research raised AI substitution risk for Ovintiv's core business, and rising AI/data-center electricity demand is, if anything, a modest secondary tailwind for natural gas demand [1]. AI Opportunity (0/1): The company uses AI/advanced analytics internally to optimize drilling and completions in real time [2], but this is an operational efficiency tool rather than a quantified AI revenue stream, so no opportunity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Ovintiv Q2 2026 Earnings and Portfolio Transformation — Paramount/NuVista Montney Acquisitions, $3.0B Anadarko Divestiture — Investing.com, Yahoo Finance, SimplyWall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Ovintiv Leadership and AI-Driven Drilling Optimization — Ovintiv.com Leadership and Innovation pages, Microsoft Customer Stories, 2026</w:t>
      </w:r>
    </w:p>
    <w:p>
      <w:pPr>
        <w:spacing w:before="20" w:after="20"/>
        <w:ind w:left="170"/>
      </w:pPr>
      <w:r>
        <w:rPr>
          <w:rFonts w:ascii="Calibri" w:hAnsi="Calibri"/>
          <w:b/>
          <w:color w:val="4A6B25"/>
          <w:sz w:val="15"/>
        </w:rPr>
        <w:t xml:space="preserve">3. </w:t>
      </w:r>
      <w:r>
        <w:rPr>
          <w:rFonts w:ascii="Calibri" w:hAnsi="Calibri"/>
          <w:b w:val="0"/>
          <w:color w:val="3A4A28"/>
          <w:sz w:val="17"/>
        </w:rPr>
        <w:t>Ovintiv USA Inc. EPA Clean Air Act Settlement — Uinta Basin Methane and VOC Emissions (~$16M) — Natural Gas Intel, EPA.gov Enforcement Case Summary,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OVV Key Statistics: Forward P/E 8.82x, ROE 8.41%, D/E 43.7%, Dividend Yield 1.86%,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