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QUBT</w:t>
      </w:r>
      <w:r>
        <w:rPr>
          <w:rFonts w:ascii="Calibri" w:hAnsi="Calibri"/>
          <w:b/>
          <w:color w:val="1A2010"/>
          <w:sz w:val="40"/>
        </w:rPr>
        <w:t xml:space="preserve">  Quantum Computing Inc.</w:t>
      </w:r>
    </w:p>
    <w:p>
      <w:pPr>
        <w:spacing w:after="120"/>
      </w:pPr>
      <w:r>
        <w:rPr>
          <w:rFonts w:ascii="Calibri" w:hAnsi="Calibri"/>
          <w:b/>
          <w:color w:val="6E8450"/>
          <w:sz w:val="18"/>
        </w:rPr>
        <w:t>GROWTH SLEEVE · 2026-08-13 · Inspire: 31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Computer Hardware · NASDAQ · United States</w:t>
      </w:r>
    </w:p>
    <w:p>
      <w:pPr>
        <w:spacing w:after="80"/>
      </w:pPr>
      <w:r>
        <w:rPr>
          <w:rFonts w:ascii="Calibri" w:hAnsi="Calibri"/>
          <w:b w:val="0"/>
          <w:color w:val="3A4A28"/>
          <w:sz w:val="20"/>
        </w:rPr>
        <w:t>Quantum Computing Inc. is a vertically integrated photonics company providing quantum machines, thin-film lithium niobate (TFLN) foundry services, and advanced semiconductor packaging. Products include TFLN chips for electro-optical modulators, the Entropy Quantum Computer (EQC), Neurawave photonic reservoir computers, quantum LiDAR, and quantum authentication systems. Acquired Luminar Semiconductor in February 2026, transforming from an R&amp;D company into an integrated photonics manufacturer with Fab 1 operational and Fab 2 planned. Founded 2001, headquartered in Hoboken, New Jersey.</w:t>
      </w:r>
    </w:p>
    <w:p>
      <w:r>
        <w:rPr>
          <w:rFonts w:ascii="Calibri" w:hAnsi="Calibri"/>
          <w:b/>
          <w:color w:val="6E8450"/>
          <w:sz w:val="18"/>
        </w:rPr>
        <w:t>72 Employees · https://www.quantumcomputinginc.com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QCi completed the acquisition of Luminar Semiconductor in February 2026, adding thin-film lithium niobate foundry capabilities and transforming from a pure quantum R&amp;D company to an integrated photonics manufacturer [1]. Q2 2026 revenue surged to $5.6M (from $61K in Q2 2025), generating $9.82M TTM revenue with a $42.5M contract backlog [1]. However, organic quantum computing revenue remains negligible, and the core product platform has not yet demonstrated product-market fit beyond foundry services. AI Deployment (0/2): No AI-powered products shipping and no quantified AI-driven cost savings. Quantum and photonics products are adjacent to AI infrastructure but QCi does not deploy AI internally or sell AI products [2]. Market Share (1/2): QCi occupies a niche in thin-film lithium niobate photonics for quantum applications with limited direct competition at their specific technology intersection [2]. The $42.5M backlog suggests growing market traction, but the company has negligible share in the broader photonics or quantum computing industries. Product Pipeline (1/2): Fab 1 operational with Fab 2 expansion planned for volume production. Product roadmap spans EQC, Neurawave, quantum LiDAR, and TFLN foundry services across telecom, finance, AI, defense, and environmental verticals [2]. Specific launch dates and revenue visibility are limited beyond the 12-18 month backlog. R&amp;D Intensity (1/1): As a 72-employee early-revenue company with operating expenses of $21.8M against $5.6M Q2 revenue, R&amp;D intensity far exceeds industry averages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QCi's stated purpose of 'making quantum technology practical, scalable, and accessible' is clear and specific to its identity but does not articulate a transformative vision of a better future — it describes the company's business goal rather than an idealistic cause [2]. The mission identifies what the company does but lacks deeper intentionality. Community Impact (0/2): No evidence of charitable programs, community investment, or foundation activities. As a 72-employee early-stage company, philanthropic capacity is limited. Employee Retention (0/2): No publicly available data on employee turnover or tenure. Three CEO transitions in approximately two years (Liscouski to McGann in 2024, interim Dr. Huang in April 2025, permanent CEO January 2026) created leadership instability [2]. New CRO Susan Hunt appointed July 2026 with CPO role created, suggesting ongoing organizational restructuring. Insider Buying (0/2): No evidence of meaningful net insider buying by executives in the last 12 months. Section 16 officers previously filed delinquent SEC forms, raising governance concerns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growth stock metrics. D/E of 1% is effectively debt-free, with approximately $954M cash and $1.3B total cash/investments against only $23.4M debt — extraordinary balance sheet strength from capital raises [4]. Revenue growth of approximately 1,340% YoY (TTM $9.82M from $682K prior year) scores at target, driven primarily by the Luminar acquisition [1]. However, ROE of -1.51% reflects continued losses (-$14.98M TTM net loss) and scores at floor, while profit margin of -152.45% is deeply negative [4]. Forward P/E and PEG are unavailable (company unprofitable). The P/S ratio of 205x on $9.82M TTM revenue against a $2.04B market cap underscores the extreme optionality pricing. Weighted sum 2.0 / max 5.0 = 4.0.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QCi is a speculative early-revenue company with severe governance concerns that undermine infinite game credibility. Three CEO transitions in two years, allegations of fabricated sales, a shareholder rights investigation, and an ISS governance score in the worst decile indicate finite-game survival mode. While the quantum technology vision is genuinely long-term, the company's organizational instability, former identity as a beverage company, and dependence on dilutive capital raises reflect opportunism rather than infinite-game purpose.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QCi's purpose of making quantum technology practical and accessible has genuine long-term orientation, but the company's history undermines credibility — it was formerly 'Innovative Beverage Group Holdings' before pivoting to quantum computing, suggesting the cause follows opportunity rather than driving strategy [2]. The quantum mission functions more as a technology bet than a validated purpose. No evidence the cause has been tested through adversity or shaped multi-year strategic consistency.</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Three CEO transitions in roughly two years (Liscouski to McGann in 2024, McGann retirement April 2025, Dr. Huang as interim then permanent CEO January 2026) create fundamental leadership instability [2]. A Capybara Research report alleges fabricated sales deals, a shareholder rights investigation has been launched by Purcell &amp; Lefkowitz LLP, and the ISS Governance QualityScore of 9 (near worst decile) with Audit:10, Compensation:10 pillar scores indicates systemic governance weakness [3]. MSCI ESG rating of CCC confirms laggard status.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QCi acknowledging competitors' strengths or framing competition as motivation to improve. The company operates in a niche with limited direct competitors but faces massively better-funded quantum players (IBM, Google, Microsoft) and has not demonstrated the competitive self-awareness Sinek requires. Public communications focus on QCi's technology advantages rather than learning from rivals.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company made a dramatic pivot from a beverage company to quantum computing, and within quantum has evolved from pure software optimization to integrated photonics hardware manufacturing through the Luminar Semiconductor acquisition [1]. The February 2026 Luminar deal transformed QCi from an R&amp;D company into a manufacturer with Fab 1. However, these pivots appear driven by market opportunity and capital availability rather than a consistent Just Cause.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Dr. Huang's decision to accelerate Fab 1 operations and lay the foundation for Fab 2 while still generating negligible organic revenue represents a bet on manufacturing scale-up [2]. The company raised approximately $1.3B in capital to fund its quantum photonics vision, demonstrating boldness in pursuing a long-term technology bet. However, this courage is funded by dilutive capital raises rather than reinvestment of operating profits, and governance concerns (fabricated sales allegations, shareholder investigation) undermine leadership credibility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QCi's Q2 2026 results show accelerating revenue momentum — $5.6M in Q2 (up 9,000% YoY from $61K) and $9.82M TTM, with a $42.5M contract backlog providing 12-18 months of revenue visibility [1]. The Luminar Semiconductor acquisition transformed QCi into an integrated photonics manufacturer with Fab 1 operational and Fab 2 planned for volume production. The balance sheet is fortress-strong at approximately $1.3B in cash and investments against $23.4M debt, providing years of runway [4]. Dr. Yuping Huang's background in DARPA/NSF/DoD quantum research and the appointment of Susan Hunt as CRO signal commercial acceleration [2]. The thin-film lithium niobate technology platform addresses multiple high-growth markets spanning telecom, AI data centers, defense, and quantum computing.</w:t>
      </w:r>
    </w:p>
    <w:p>
      <w:pPr>
        <w:spacing w:after="120"/>
      </w:pPr>
      <w:r>
        <w:rPr>
          <w:rFonts w:ascii="Calibri" w:hAnsi="Calibri"/>
          <w:b w:val="0"/>
          <w:color w:val="3A4A28"/>
          <w:sz w:val="20"/>
        </w:rPr>
        <w:t>The bear case is severe and multi-dimensional. A Capybara Research report alleges QCi fabricated sales deals, and a shareholder rights investigation by Purcell &amp; Lefkowitz LLP has been launched — governance red flags that could undermine the entire revenue growth narrative [3]. At $2.04B market cap on $9.82M TTM revenue (205x P/S), the stock is priced for transformational success that is far from assured. The ISS Governance QualityScore of 9 (worst decile) with Audit:10 and Compensation:10 pillar scores, combined with MSCI ESG rating of CCC, indicate systemic governance weakness [3]. Three CEO changes in two years, 28.58% short interest, and the company's former identity as 'Innovative Beverage Group Holdings' collectively paint a picture of a highly speculative enterprise where the gap between narrative and fundamentals may be substantial. Net loss improved to $11.8M in Q2 (from $36.5M) but operating expenses of $21.8M continue to dwarf revenue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Contract backlog conversion — the $42.5M backlog expected to sustain 12-18 months of operations provides near-term revenue visibility and validates commercial demand for TFLN foundry services [1]</w:t>
      </w:r>
    </w:p>
    <w:p>
      <w:pPr>
        <w:spacing w:before="40" w:after="40"/>
        <w:ind w:left="283"/>
      </w:pPr>
      <w:r>
        <w:rPr>
          <w:rFonts w:ascii="Calibri" w:hAnsi="Calibri"/>
          <w:b/>
          <w:color w:val="4A6B25"/>
          <w:sz w:val="20"/>
        </w:rPr>
        <w:t xml:space="preserve">2. </w:t>
      </w:r>
      <w:r>
        <w:rPr>
          <w:rFonts w:ascii="Calibri" w:hAnsi="Calibri"/>
          <w:b w:val="0"/>
          <w:color w:val="3A4A28"/>
          <w:sz w:val="20"/>
        </w:rPr>
        <w:t>Fab 2 expansion enabling volume production of thin-film lithium niobate chips for electro-optical modulators, scaling capacity beyond current Fab 1 limitations to meet backlog demand</w:t>
      </w:r>
    </w:p>
    <w:p>
      <w:pPr>
        <w:spacing w:before="40" w:after="40"/>
        <w:ind w:left="283"/>
      </w:pPr>
      <w:r>
        <w:rPr>
          <w:rFonts w:ascii="Calibri" w:hAnsi="Calibri"/>
          <w:b/>
          <w:color w:val="4A6B25"/>
          <w:sz w:val="20"/>
        </w:rPr>
        <w:t xml:space="preserve">3. </w:t>
      </w:r>
      <w:r>
        <w:rPr>
          <w:rFonts w:ascii="Calibri" w:hAnsi="Calibri"/>
          <w:b w:val="0"/>
          <w:color w:val="3A4A28"/>
          <w:sz w:val="20"/>
        </w:rPr>
        <w:t>Government or defense contract awards leveraging Dr. Huang's DARPA/NSF/DoD relationships, providing high-visibility revenue with above-average margins and validating QCi's quantum technology for national security applications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Allegations of fabricated sales deals and a shareholder rights investigation create existential governance risk — if corroborated, the revenue growth narrative collapses and potential SEC enforcement action, stock delisting, or shareholder lawsuits could follow [3]</w:t>
      </w:r>
    </w:p>
    <w:p>
      <w:pPr>
        <w:spacing w:before="40" w:after="40"/>
        <w:ind w:left="283"/>
      </w:pPr>
      <w:r>
        <w:rPr>
          <w:rFonts w:ascii="Calibri" w:hAnsi="Calibri"/>
          <w:b/>
          <w:color w:val="4A6B25"/>
          <w:sz w:val="20"/>
        </w:rPr>
        <w:t xml:space="preserve">2. </w:t>
      </w:r>
      <w:r>
        <w:rPr>
          <w:rFonts w:ascii="Calibri" w:hAnsi="Calibri"/>
          <w:b w:val="0"/>
          <w:color w:val="3A4A28"/>
          <w:sz w:val="20"/>
        </w:rPr>
        <w:t>At 205x price-to-sales with 28.58% short interest and 3.79 beta, the stock is priced for transformational success — any execution delay, governance confirmation, or market sentiment shift could trigger severe multiple compression [4]</w:t>
      </w:r>
    </w:p>
    <w:p>
      <w:pPr>
        <w:spacing w:before="40" w:after="40"/>
        <w:ind w:left="283"/>
      </w:pPr>
      <w:r>
        <w:rPr>
          <w:rFonts w:ascii="Calibri" w:hAnsi="Calibri"/>
          <w:b/>
          <w:color w:val="4A6B25"/>
          <w:sz w:val="20"/>
        </w:rPr>
        <w:t xml:space="preserve">3. </w:t>
      </w:r>
      <w:r>
        <w:rPr>
          <w:rFonts w:ascii="Calibri" w:hAnsi="Calibri"/>
          <w:b w:val="0"/>
          <w:color w:val="3A4A28"/>
          <w:sz w:val="20"/>
        </w:rPr>
        <w:t>Organic quantum computing revenue remains negligible after 25 years — the revenue growth is almost entirely Luminar acquisition-driven, raising questions about whether the core quantum technology has genuine commercial viability beyond foundry services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QCi's core business — photonics hardware, thin-film lithium niobate chip fabrication, and quantum computing systems — is physical infrastructure that AI cannot substitute [2]. AI software requires the kind of photonic and quantum hardware QCi is developing; rather than being disrupted by AI, the company's products are complementary enablers for AI data centers and computing infrastructure. The TFLN fabrication process involves deep physics-based manufacturing outside AI's capability. Score reduced from IMMUNE because the company is early-revenue with unproven commercial viability, and AI could potentially accelerate competitors' development timelines. AI Opportunity (0/1): No quantifiable AI revenue. While quantum computing and photonics are adjacent to AI infrastructure, QCi does not currently generate revenue from AI-specific products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31</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Quantum Computing Inc. Q2 2026 Earnings — Revenue $5.6M, Net Loss $11.8M, $42.5M Contract Backlog, QuiverQuant, StockTitan, August 2026</w:t>
      </w:r>
    </w:p>
    <w:p>
      <w:pPr>
        <w:spacing w:before="20" w:after="20"/>
        <w:ind w:left="170"/>
      </w:pPr>
      <w:r>
        <w:rPr>
          <w:rFonts w:ascii="Calibri" w:hAnsi="Calibri"/>
          <w:b/>
          <w:color w:val="4A6B25"/>
          <w:sz w:val="15"/>
        </w:rPr>
        <w:t xml:space="preserve">2. </w:t>
      </w:r>
      <w:r>
        <w:rPr>
          <w:rFonts w:ascii="Calibri" w:hAnsi="Calibri"/>
          <w:b w:val="0"/>
          <w:color w:val="3A4A28"/>
          <w:sz w:val="17"/>
        </w:rPr>
        <w:t>Dr. Yuping Huang CEO Appointment, Susan Hunt CRO, and Corporate Strategy — QCi Press Releases, The Quantum Insider, PRNewswire, 2025-2026</w:t>
      </w:r>
    </w:p>
    <w:p>
      <w:pPr>
        <w:spacing w:before="20" w:after="20"/>
        <w:ind w:left="170"/>
      </w:pPr>
      <w:r>
        <w:rPr>
          <w:rFonts w:ascii="Calibri" w:hAnsi="Calibri"/>
          <w:b/>
          <w:color w:val="4A6B25"/>
          <w:sz w:val="15"/>
        </w:rPr>
        <w:t xml:space="preserve">3. </w:t>
      </w:r>
      <w:r>
        <w:rPr>
          <w:rFonts w:ascii="Calibri" w:hAnsi="Calibri"/>
          <w:b w:val="0"/>
          <w:color w:val="3A4A28"/>
          <w:sz w:val="17"/>
        </w:rPr>
        <w:t>QUBT Governance Concerns — Capybara Research Allegations, Shareholder Investigation, ISS Governance Scores, StocksToTrade, TipRanks, 2026</w:t>
      </w:r>
    </w:p>
    <w:p>
      <w:pPr>
        <w:spacing w:before="20" w:after="20"/>
        <w:ind w:left="170"/>
      </w:pPr>
      <w:r>
        <w:rPr>
          <w:rFonts w:ascii="Calibri" w:hAnsi="Calibri"/>
          <w:b/>
          <w:color w:val="4A6B25"/>
          <w:sz w:val="15"/>
        </w:rPr>
        <w:t xml:space="preserve">4. </w:t>
      </w:r>
      <w:r>
        <w:rPr>
          <w:rFonts w:ascii="Calibri" w:hAnsi="Calibri"/>
          <w:b w:val="0"/>
          <w:color w:val="3A4A28"/>
          <w:sz w:val="17"/>
        </w:rPr>
        <w:t>StockAnalysis.com — QUBT Key Statistics and Financial Ratios,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