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SUNB</w:t>
      </w:r>
      <w:r>
        <w:rPr>
          <w:rFonts w:ascii="Calibri" w:hAnsi="Calibri"/>
          <w:b/>
          <w:color w:val="1A2010"/>
          <w:sz w:val="40"/>
        </w:rPr>
        <w:t xml:space="preserve">  Sunbelt Rentals Holdings, Inc.</w:t>
      </w:r>
    </w:p>
    <w:p>
      <w:pPr>
        <w:spacing w:after="120"/>
      </w:pPr>
      <w:r>
        <w:rPr>
          <w:rFonts w:ascii="Calibri" w:hAnsi="Calibri"/>
          <w:b/>
          <w:color w:val="6E8450"/>
          <w:sz w:val="18"/>
        </w:rPr>
        <w:t>GROWTH SLEEVE · 2026-08-24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(Capital Goods) · NYSE (primary) / London Stock Exchange (secondary) · United States</w:t>
      </w:r>
    </w:p>
    <w:p>
      <w:pPr>
        <w:spacing w:after="80"/>
      </w:pPr>
      <w:r>
        <w:rPr>
          <w:rFonts w:ascii="Calibri" w:hAnsi="Calibri"/>
          <w:b w:val="0"/>
          <w:color w:val="3A4A28"/>
          <w:sz w:val="20"/>
        </w:rPr>
        <w:t>Sunbelt Rentals is the second-largest construction, industrial, and general equipment rental company in North America, operating over 1,175 locations across the U.S., U.K., and Canada. On February 27, 2026, former parent Ashtead Group completed a scheme of arrangement redomiciling the business as U.S.-listed Sunbelt Rentals Holdings, Inc., with a primary NYSE listing and secondary LSE listing. Fiscal 2026 total revenue reached $11,154M with 3.4% rental revenue growth (specialty rental +5.8%, general tool +2.1%), 41.9% adjusted EBITDA margin, and $2,055M free cash flow, though net income and EPS both declined YoY, partly reflecting redomiciliation-related costs [1].</w:t>
      </w:r>
    </w:p>
    <w:p>
      <w:r>
        <w:rPr>
          <w:rFonts w:ascii="Calibri" w:hAnsi="Calibri"/>
          <w:b/>
          <w:color w:val="6E8450"/>
          <w:sz w:val="18"/>
        </w:rPr>
        <w:t>22,000 Employees · https://www.sunbeltrentals.com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February 2026 Ashtead-to-Sunbelt US redomiciliation was a major structural transformation — shifting the primary listing from London to New York and rebranding as a US-domiciled company — paired with the newly outlined 'Sunbelt 4.0' strategy and the announced Reliant specialty-rental acquisition, though this is a corporate-structure and portfolio move rather than a new product or revenue-stream pivot [1]. AI Deployment (1/2): Leadership has flagged 'simplification, AI, innovation and intelligent partnerships' as future growth levers, and the company has built out an IoT-based fleet telematics platform now covering roughly 95% of its core fleet, but no specific AI-attributable cost savings or revenue figures were disclosed [2]. Market Share (2/2): Sunbelt is the clear #2 player in North American equipment rental (behind United Rentals) with $11.2B in FY2026 revenue and a footprint of 1,175+ locations, a category-leadership position with specific scale evidence [1]. Product Pipeline (1/2): FY2027 guidance of 5-8% rental revenue growth and the named Reliant specialty-rental acquisition provide some forward visibility, though this is guidance/M&amp;A rather than a named next-generation product roadmap. R&amp;D Intensity (0/1): No evidence was found that Sunbelt's R&amp;D spend is above the equipment-rental industry average; the business model is fleet- and logistics-driven rather than R&amp;D-driven.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Sunbelt's stated mission — 'We own the future of rental... constantly advancing the idea of what a rental company can do for its customers' — identifies what the company does and for whom, but it is fundamentally a competitive-positioning statement rather than a purpose connecting to something larger than the business itself. Community Impact (1/2): Sunbelt Rentals is a named national sponsor of GiGi's Playhouse, an achievement center network for individuals with Down syndrome, with team members volunteering — a specific, real program, though no dollar figures were disclosed [3]. Employee Retention (0/2): No specific tenure or voluntary-turnover data was found in research. Insider Buying (0/2): Recent Form 4 filings show CEO Brendan Horgan and CFO Alex Pease acquiring only small dividend-equivalent share grants (479 and 144 shares respectively) alongside routine tax-withholding share dispositions by other executives — equity-compensation mechanics rather than conviction open-market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(dividend yield of ~1.4-1.55% is below the 2% dividend-sleeve threshold). ROE of 17.46% and Forward P/E of ~17x both clear their targets, and Forward PEG of 1.47 is reasonably close to the 1.0 target. D/E of 102.35% is above the 70% target but well inside the 300% floor, reflecting fleet-financing leverage typical of equipment rental. Revenue growth of 3.4% YoY (FY2026) is below the 10% target and reflects a moderating rental cycle, though FY2027 guidance of 5-8% growth and an estimated ~8% 5-year revenue CAGR are more constructive. Profit margin of ~11.9% (net income $1,325M on $11,154M revenue) sits below the 20% target. At an ~$85 share price on multi-million-share daily volume, the stock clears the liquidity floor by a wide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Sunbelt's stated mission is competitive-positioning language ('own the future of rental') rather than a Just Cause connecting the business to something beyond itself, and the defining 2026 event — the Ashtead-to-Sunbelt US redomiciliation — reads primarily as a capital-markets and valuation-arbitrage move (accessing US listing premiums) rather than a cause-driven transformation. The underlying operating business is well-run and stable, but little evidence points to Sinek's infinite-game markers of a resilient, tested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Sunbelt's mission statement centers on being the best rental company for customers through 'unmatched customer solutions' and 'continuous innovation' — a genuine but essentially competitive/commercial framing rather than a cause that invites broader stakeholder sacrifice or describes a future state beyond the company's own market position.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Sunbelt employs 22,000+ team members with a dedicated Chief People Officer emphasizing succession planning and progression pathways, and the 2026 redomiciliation was executed without evidence of major workforce disruption, but no specific tenure or turnover data was found to support a rating above industry-average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management commentary was found framing larger rival United Rentals or other competitors as a source of self-improvement rather than a target to out-compete; available materials focus on Sunbelt's own scale and 'Sunbelt 4.0' growth plan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Sunbelt has grown its specialty-rental segment faster than general tool rental (+5.8% vs. +2.1% in FY2026) and made bolt-on acquisitions like Reliant, alongside the structural US redomiciliation — real but incremental portfolio evolution rather than a transformative reinvention of the core equipment-rental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the Ashtead-to-Sunbelt redomiciliation — moving the primary listing from London to New York and rebranding a decades-old company — required real organizational effort and accepted near-term transition costs (net income and EPS both declined YoY in FY2026, partly reflecting redomiciliation costs) in pursuit of a longer-term US capital-markets positioning, though the primary driver appears to be valuation/liquidity access rather than a mission-driven sacrifice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Sunbelt Rentals is the #2 North American equipment rental operator with $11.2B in FY2026 revenue, a 41.9% adjusted EBITDA margin, and $2,055M of free cash flow, now trading as a US-domiciled, NYSE-primary-listed company following the February 2026 Ashtead redomiciliation [1]. Specialty rental — the faster-growing, higher-margin segment — expanded 5.8% in FY2026 versus 2.1% for general tool rental, and management's FY2027 guidance of 5-8% rental revenue growth, combined with the Reliant acquisition and 95% fleet telematics coverage, points to continued share gains and operating efficiency. A Forward P/E of ~17x and PEG of 1.47 are reasonable for a company with 17.46% ROE and a fortress position as the clear #2 player behind United Rentals in a large, fragmented rental market.</w:t>
      </w:r>
    </w:p>
    <w:p>
      <w:pPr>
        <w:spacing w:after="120"/>
      </w:pPr>
      <w:r>
        <w:rPr>
          <w:rFonts w:ascii="Calibri" w:hAnsi="Calibri"/>
          <w:b w:val="0"/>
          <w:color w:val="3A4A28"/>
          <w:sz w:val="20"/>
        </w:rPr>
        <w:t>The bear case centers on cyclicality, leverage, and moderating growth. FY2026 net income and EPS both declined YoY, partly reflecting one-time redomiciliation costs, and overall rental revenue growth of 3.4% is below the 10% target for a Growth-sleeve stock, signaling a maturing rental cycle after the post-pandemic construction boom [1]. D/E of 102.35% is meaningfully above the 70% Infrastructure target, reflecting the fleet-financing leverage inherent to the rental model, which leaves less balance-sheet cushion if construction activity slows. Equipment rental is highly cyclical and correlated to non-residential construction spending, interest rates, and infrastructure capex — a downturn in any of these would directly pressure utilization rates and pricing. Finally, Sunbelt's mission and public communications skew toward competitive positioning rather than an articulated Just Cause, and no evidence of meaningful insider conviction buying (only routine equity-compensation activity) was found to signal management's own confidence in the stock at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rental revenue growth guidance of 5-8%, which if delivered would represent meaningful reacceleration from FY2026's 3.4% growth and support further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Continued specialty-rental segment outperformance (+5.8% vs. +2.1% general tool in FY2026) as Sunbelt shifts mix toward higher-margin, less commoditized rental categories, aided by the Reliant acquisition [1]</w:t>
      </w:r>
    </w:p>
    <w:p>
      <w:pPr>
        <w:spacing w:before="40" w:after="40"/>
        <w:ind w:left="283"/>
      </w:pPr>
      <w:r>
        <w:rPr>
          <w:rFonts w:ascii="Calibri" w:hAnsi="Calibri"/>
          <w:b/>
          <w:color w:val="4A6B25"/>
          <w:sz w:val="20"/>
        </w:rPr>
        <w:t xml:space="preserve">3. </w:t>
      </w:r>
      <w:r>
        <w:rPr>
          <w:rFonts w:ascii="Calibri" w:hAnsi="Calibri"/>
          <w:b w:val="0"/>
          <w:color w:val="3A4A28"/>
          <w:sz w:val="20"/>
        </w:rPr>
        <w:t>Potential valuation re-rating and improved trading liquidity following the February 2026 US redomiciliation, which moved Sunbelt's primary listing and index eligibility to the deeper, typically higher-multiple US capital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exposure to non-residential construction activity and infrastructure capex — a slowdown would directly pressure fleet utilization, rental rates, and the 41.9% adjusted EBITDA margin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(D/E ~102%) relative to the Infrastructure target, driven by fleet-financing debt, which reduces balance-sheet flexibility if a downturn coincides with high interest rates</w:t>
      </w:r>
    </w:p>
    <w:p>
      <w:pPr>
        <w:spacing w:before="40" w:after="40"/>
        <w:ind w:left="283"/>
      </w:pPr>
      <w:r>
        <w:rPr>
          <w:rFonts w:ascii="Calibri" w:hAnsi="Calibri"/>
          <w:b/>
          <w:color w:val="4A6B25"/>
          <w:sz w:val="20"/>
        </w:rPr>
        <w:t xml:space="preserve">3. </w:t>
      </w:r>
      <w:r>
        <w:rPr>
          <w:rFonts w:ascii="Calibri" w:hAnsi="Calibri"/>
          <w:b w:val="0"/>
          <w:color w:val="3A4A28"/>
          <w:sz w:val="20"/>
        </w:rPr>
        <w:t>FY2026 net income and EPS both declined YoY even as revenue grew, partly reflecting one-time redomiciliation costs — a reminder that the structural transition carries real near-term earnings drag that needs to prove transitory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Sunbelt's core business — physically delivering, maintaining, and renting construction and industrial equipment across 1,175+ locations — is structurally immune to AI substitution; AI software cannot operate a crane, deliver a generator, or service a fleet on a job site. If anything, AI-enabled telematics (95% core-fleet coverage) and predictive maintenance are being used to improve fleet utilization and reduce downtime, an efficiency tailwind rather than a threat [2]. No analyst commentary in research flagged AI disruption risk to the equipment-rental business model. AI Opportunity (0/1): No specific AI-attributable revenue or cost-savings figure was disclosed; the IoT/telematics platform is a digital operations tool rather than a quantified AI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Sunbelt Rentals FY2026 and Q2 2026 Results, Ashtead-to-Sunbelt US Redomiciliation (Feb 27, 2026), Sunbelt 4.0 Plan, Reliant Acquisition, FY2027 Guidance — Rental Management Media Group (ararental.org), StockTitan, Equipment Finance News, Wikipedia, August 2026</w:t>
      </w:r>
    </w:p>
    <w:p>
      <w:pPr>
        <w:spacing w:before="20" w:after="20"/>
        <w:ind w:left="170"/>
      </w:pPr>
      <w:r>
        <w:rPr>
          <w:rFonts w:ascii="Calibri" w:hAnsi="Calibri"/>
          <w:b/>
          <w:color w:val="4A6B25"/>
          <w:sz w:val="15"/>
        </w:rPr>
        <w:t xml:space="preserve">2. </w:t>
      </w:r>
      <w:r>
        <w:rPr>
          <w:rFonts w:ascii="Calibri" w:hAnsi="Calibri"/>
          <w:b w:val="0"/>
          <w:color w:val="3A4A28"/>
          <w:sz w:val="17"/>
        </w:rPr>
        <w:t>Sunbelt Rentals Leadership (CEO Brendan Horgan, CPO Monica Ziegler), IoT/Telematics Fleet Platform (95% coverage), AI/Innovation Strategy Commentary — Sunbelt Rentals IR, PTC Case Study, Business Focus Magazine, 2025-2026</w:t>
      </w:r>
    </w:p>
    <w:p>
      <w:pPr>
        <w:spacing w:before="20" w:after="20"/>
        <w:ind w:left="170"/>
      </w:pPr>
      <w:r>
        <w:rPr>
          <w:rFonts w:ascii="Calibri" w:hAnsi="Calibri"/>
          <w:b/>
          <w:color w:val="4A6B25"/>
          <w:sz w:val="15"/>
        </w:rPr>
        <w:t xml:space="preserve">3. </w:t>
      </w:r>
      <w:r>
        <w:rPr>
          <w:rFonts w:ascii="Calibri" w:hAnsi="Calibri"/>
          <w:b w:val="0"/>
          <w:color w:val="3A4A28"/>
          <w:sz w:val="17"/>
        </w:rPr>
        <w:t>Sunbelt Rentals Mission Statement, GiGi's Playhouse Community Sponsorship, Insider Form 4 Filings (CEO/CFO Dividend-Equivalent Grants) — Comparably, Indeed, StockTitan SEC Filings, August 2026</w:t>
      </w:r>
    </w:p>
    <w:p>
      <w:pPr>
        <w:spacing w:before="20" w:after="20"/>
        <w:ind w:left="170"/>
      </w:pPr>
      <w:r>
        <w:rPr>
          <w:rFonts w:ascii="Calibri" w:hAnsi="Calibri"/>
          <w:b/>
          <w:color w:val="4A6B25"/>
          <w:sz w:val="15"/>
        </w:rPr>
        <w:t xml:space="preserve">4. </w:t>
      </w:r>
      <w:r>
        <w:rPr>
          <w:rFonts w:ascii="Calibri" w:hAnsi="Calibri"/>
          <w:b w:val="0"/>
          <w:color w:val="3A4A28"/>
          <w:sz w:val="17"/>
        </w:rPr>
        <w:t>Sunbelt Rentals Financial Statistics — P/E (TTM) 24.43x, Forward P/E ~17x, PEG 1.47, D/E 102.35%, ROE 17.46%, Stock Price $84.80 — CNBC, ChartMill, Simply Wall St, StockAnalysis.com,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