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SU</w:t>
      </w:r>
      <w:r>
        <w:rPr>
          <w:rFonts w:ascii="Calibri" w:hAnsi="Calibri"/>
          <w:b/>
          <w:color w:val="1A2010"/>
          <w:sz w:val="40"/>
        </w:rPr>
        <w:t xml:space="preserve">  Suncor Energy Inc.</w:t>
      </w:r>
    </w:p>
    <w:p>
      <w:pPr>
        <w:spacing w:after="120"/>
      </w:pPr>
      <w:r>
        <w:rPr>
          <w:rFonts w:ascii="Calibri" w:hAnsi="Calibri"/>
          <w:b/>
          <w:color w:val="6E8450"/>
          <w:sz w:val="18"/>
        </w:rPr>
        <w:t>DIVIDEND SLEEVE · 2026-08-27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NYSE · Canada</w:t>
      </w:r>
    </w:p>
    <w:p>
      <w:pPr>
        <w:spacing w:after="80"/>
      </w:pPr>
      <w:r>
        <w:rPr>
          <w:rFonts w:ascii="Calibri" w:hAnsi="Calibri"/>
          <w:b w:val="0"/>
          <w:color w:val="3A4A28"/>
          <w:sz w:val="20"/>
        </w:rPr>
        <w:t>Suncor Energy is Canada's largest integrated energy company, operating the largest oil sands mining and upgrading operations globally along with significant downstream refining and retail fuel networks. Under CEO Rich Kruger (appointed 2023 after predecessor Mark Little resigned over safety concerns), Suncor has refocused on operational execution and shareholder returns. Q2 2026 net earnings reached $3.7B ($3.17/share) with record refining throughput of 471,000 bbls/d and record refined product sales of 655,000 bbls/d. Adjusted funds from operations matched a quarterly record at $5.3B. The company plans $4.7B in 2026 share buybacks and reduced net debt to $4.5B from $7.7B YoY, while returning $1.8B to shareholders in Q2 through buybacks ($1.0B+) and dividends ($700M+).</w:t>
      </w:r>
    </w:p>
    <w:p>
      <w:r>
        <w:rPr>
          <w:rFonts w:ascii="Calibri" w:hAnsi="Calibri"/>
          <w:b/>
          <w:color w:val="6E8450"/>
          <w:sz w:val="18"/>
        </w:rPr>
        <w:t>16,000 Employees · https://www.suncor.com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Suncor has achieved meaningful operational improvements under CEO Kruger — record Q2 2026 refining throughput of 471,000 bbls/d and record refined product sales of 655,000 bbls/d demonstrate execution excellence [1]. However, these are incremental operational optimizations of the existing oil sands business model, not product launches, market pivots, or business model transformations. The company looks fundamentally the same as it did 5 years ago — a large oil sands producer and refiner. AI Deployment (1/2): Suncor uses AI and advanced analytics for predictive maintenance, production optimization, and operational efficiency across its mining and refining operations [3]. These are internal deployment tools rather than customer-facing AI products, but they contribute to the record throughput and operational performance. Specific cost savings have not been quantified publicly. Market Share (2/2): Suncor is the dominant integrated oil sands operator in Canada — the largest by production volume, with vertically integrated mining, upgrading, refining, and retail operations [1][2]. The company's scale and integration create cost advantages that smaller operators cannot replicate. Product Pipeline (0/2): No next-generation products, new market entries, or business model innovations are visible. Suncor's future is incremental production optimization and potential capacity expansion of existing oil sands and refining assets. R&amp;D Intensity (0/1): Energy company R&amp;D spending is low relative to technology sectors. Suncor participates in the Pathways Alliance for carbon capture, but R&amp;D as a percentage of revenue is below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Suncor's stated purpose — 'providing trusted energy' — is generic and interchangeable with any integrated oil company. The mission does not articulate a deeper purpose, a vision of a better future, or why Suncor exists beyond extracting and refining fossil fuels [3]. The addition of 'trusted' is a PR modifier rather than genuine differentiation. Community Impact (0/2): Suncor's community record is negative on balance. The company has faced 12 worker fatalities in 8 years — the most among large oil sands producers — and a 2023 incident of dumping oil sands mine wastewater from the Fort Hills tailings pond into surrounding waterways [3]. CEO Kruger was called to Parliament Hill twice to testify about emissions and environmental responsibility. These represent community harm rather than community investment. Employee Retention (0/2): Suncor's executive team is rated 'D' and ranked in the bottom 15% of similar-size companies (10,000+ employees) on Comparably [3]. This poor leadership rating suggests an environment that does not inspire loyalty or long tenure. The predecessor CEO (Mark Little) resigned over safety failures, and the cultural issues that prompted activist investor Elliott Management's intervention appear unresolved. Insider Buying (0/2): Net insider selling in 2026 — Curtis Wade Serra sold 2,400 shares at C$94.03 in August 2026 [4]. No evidence of meaningful insider buying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Suncor's financial metrics are exceptionally strong across most dimensions [4]. D/E of 33% is well below the 70% target (score 1.0), reflecting the aggressive $3.2B net debt reduction from $7.7B to $4.5B over the past year [1]. Forward P/E of 19.44x nearly hits the 20x target (score 1.0). Revenue growth YoY of 39.7% (Q2 2026, driven by oil prices and record production) far exceeds the 10% target [1]. Payout ratio of 31.65% is below the 40% target (score 1.0), and consecutive years paid of ~34 years and 5-year dividend growth CAGR of ~20% (recovery from the 2020 COVID-era cut) contribute strongly. The primary drags are ROE of 13.20% (below 15% target, score 0.88), profit margin of 15.78% (below 20%, score 0.79), modest 5-year revenue CAGR of 3.25% (score 0.55), and only 5 consecutive years of dividend growth since the 2020 cut (score 0.50). Daily dollar volume of ~$188M easily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Suncor under CEO Kruger is a textbook finite-game player — the company exists to extract oil, return capital to shareholders, and optimize quarterly financial metrics. There is no articulated Just Cause, no evidence of courageous long-term investment at the expense of near-term returns, and a safety record (12 fatalities in 8 years) that violates the most basic requirement of Sinek's Trusting Teams [3]. CEO Kruger's public advocacy for keeping coal plants online for as long as possible to serve AI data center demand — directly contradicting any clean energy transition narrative — exemplifies finite-game thinking that maximizes current profits over future sustainability. The $4.7B in planned share buybacks is financial engineering, not purpose-driven capital allocation.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'Providing trusted energy' is a commercial objective, not a vision of a future state that inspires sacrifice. CEO Kruger's advocacy for extending coal plant lifetimes and maximizing oil sands production contradicts any narrative of environmental purpose [3]. The company's Pathways Alliance participation for carbon capture is a PR initiative rather than a strategic commitment — the greenwashing allegations and climate litigation against Suncor suggest the market sees through this positioning. Sinek would identify this as a company playing to win this quarter, not playing to keep playing.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Suncor's safety record is the strongest evidence of a low-trust environment. Twelve worker fatalities in 8 years — the most among large oil sands producers — indicate systemic safety failures that destroy the foundational trust Sinek requires [3]. The predecessor CEO (Mark Little) resigned specifically over safety performance after activist investor Elliott Management intervened. Suncor's executive team is rated 'D' on Comparably, ranking in the bottom 15% of companies with 10,000+ employees. These are not the metrics of a psychologically safe organization where people feel empowered to raise concerns.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Suncor's competitive positioning focuses on production volumes, cost per barrel, and shareholder returns — all finite metrics. The company's participation in the Pathways Alliance alongside peers (CNRL, Imperial Oil, Cenovus) is collaborative on carbon capture but driven by regulatory necessity rather than competitive self-improvement. No evidence of management acknowledging competitors' strengths or using rivalry as motivation for organizational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Suncor has made incremental strategic adaptations — investments in renewable diesel, some wind and solar asset acquisitions, and participation in the Pathways Alliance carbon capture initiative [3]. The company also restructured its downstream operations for greater efficiency. However, the core business model remains fundamentally unchanged: mining oil sands, upgrading bitumen, refining crude, and selling fuel. The CEO has explicitly rejected any accelerated energy transition, advocating for coal and oil production to continue at maximum capacity. This rigidity — clinging to the legacy model while the energy landscape evolves — is the opposite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in Sinek's framework. The $4.7B in planned 2026 share buybacks and aggressive capital returns are shareholder-pleasing financial engineering, not long-term investment [1]. CEO Kruger has explicitly chosen short-term profit optimization (coal advocacy, maximum production) over long-term capability building (clean energy transition). The company's response to safety failures was reactive (CEO resignation, Elliott Management pressure) rather than proactive. Walking away from coal production — even when profitable — to accelerate the clean energy transition would demonstrate courage. Instead, Suncor has doubled down on the extractive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Suncor at 19.44x forward earnings is a capital return machine generating record cash flows — Q2 2026 adjusted funds from operations hit a quarterly record of $5.3B ($4.52/share), supporting $4.7B in planned 2026 buybacks alongside a $1.88 annual dividend (2.87% yield, 31.65% payout ratio) [1][4]. Net debt has been slashed from $7.7B to $4.5B, the balance sheet is fortress-like at 33% D/E, and record refining throughput of 471,000 bbls/d demonstrates operational excellence under CEO Kruger. The PEG ratio of 0.60 suggests the stock is significantly undervalued relative to its earnings growth trajectory, and the vertically integrated model (mining through retail) provides margin stability across oil price cycles.</w:t>
      </w:r>
    </w:p>
    <w:p>
      <w:pPr>
        <w:spacing w:after="120"/>
      </w:pPr>
      <w:r>
        <w:rPr>
          <w:rFonts w:ascii="Calibri" w:hAnsi="Calibri"/>
          <w:b w:val="0"/>
          <w:color w:val="3A4A28"/>
          <w:sz w:val="20"/>
        </w:rPr>
        <w:t>The bear case is commodity cyclicality, ESG risk, and terminal value uncertainty. Suncor's Q2 revenue growth of 39.7% is largely driven by favorable oil prices — any crude price decline would rapidly compress earnings and cash flows, as the 5-year revenue CAGR of 3.25% demonstrates the underlying cyclicality [4]. The ESG profile is severely challenged: 12 worker fatalities in 8 years, tailings pond wastewater dumping, climate litigation in Colorado, CEO testimony before Parliament, and greenwashing allegations from the Pathways Alliance [3]. Suncor is responsible for nearly 35 million metric tons of annual climate pollution, and increasing carbon pricing in Canada could materially erode profitability. The 2020 dividend cut (from C$0.465 to C$0.21/quarter) broke the consecutive growth streak and demonstrated that the dividend is not immune to commodity downturns. Only 5 consecutive years of dividend growth post-cut limits the stock's appeal to dividend growth investors. The Inspire Impact Score of 0 (MIXED) reflects the absence of both positive and negative faith-alignment attributions, limiting the signal for faith-based allocators.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operational execution at record throughput levels, with potential for further production optimization and capacity debottlenecking across oil sands and refining assets to drive earnings above current guidance [1]</w:t>
      </w:r>
    </w:p>
    <w:p>
      <w:pPr>
        <w:spacing w:before="40" w:after="40"/>
        <w:ind w:left="283"/>
      </w:pPr>
      <w:r>
        <w:rPr>
          <w:rFonts w:ascii="Calibri" w:hAnsi="Calibri"/>
          <w:b/>
          <w:color w:val="4A6B25"/>
          <w:sz w:val="20"/>
        </w:rPr>
        <w:t xml:space="preserve">2. </w:t>
      </w:r>
      <w:r>
        <w:rPr>
          <w:rFonts w:ascii="Calibri" w:hAnsi="Calibri"/>
          <w:b w:val="0"/>
          <w:color w:val="3A4A28"/>
          <w:sz w:val="20"/>
        </w:rPr>
        <w:t>Accelerated share buyback program ($500M monthly starting August 2026, targeting $4.7B in 2026) reducing share count and compounding EPS growth on top of operational improvements [1]</w:t>
      </w:r>
    </w:p>
    <w:p>
      <w:pPr>
        <w:spacing w:before="40" w:after="40"/>
        <w:ind w:left="283"/>
      </w:pPr>
      <w:r>
        <w:rPr>
          <w:rFonts w:ascii="Calibri" w:hAnsi="Calibri"/>
          <w:b/>
          <w:color w:val="4A6B25"/>
          <w:sz w:val="20"/>
        </w:rPr>
        <w:t xml:space="preserve">3. </w:t>
      </w:r>
      <w:r>
        <w:rPr>
          <w:rFonts w:ascii="Calibri" w:hAnsi="Calibri"/>
          <w:b w:val="0"/>
          <w:color w:val="3A4A28"/>
          <w:sz w:val="20"/>
        </w:rPr>
        <w:t>Net debt reduction to $4.5B with continued deleveraging creating balance sheet optionality for increased dividends, incremental buybacks, or strategic M&amp;A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cyclicality — the Q2 revenue surge is price-driven, and any WTI crude decline below $60/bbl would rapidly compress margins, cash flows, and potentially force another dividend reduction as occurred in 2020 [4]</w:t>
      </w:r>
    </w:p>
    <w:p>
      <w:pPr>
        <w:spacing w:before="40" w:after="40"/>
        <w:ind w:left="283"/>
      </w:pPr>
      <w:r>
        <w:rPr>
          <w:rFonts w:ascii="Calibri" w:hAnsi="Calibri"/>
          <w:b/>
          <w:color w:val="4A6B25"/>
          <w:sz w:val="20"/>
        </w:rPr>
        <w:t xml:space="preserve">2. </w:t>
      </w:r>
      <w:r>
        <w:rPr>
          <w:rFonts w:ascii="Calibri" w:hAnsi="Calibri"/>
          <w:b w:val="0"/>
          <w:color w:val="3A4A28"/>
          <w:sz w:val="20"/>
        </w:rPr>
        <w:t>ESG and safety liability — 12 worker fatalities in 8 years, tailings contamination, climate litigation, and 35M metric tons of annual emissions create material legal, regulatory, and reputational risk as carbon pricing intensifies in Canada [3]</w:t>
      </w:r>
    </w:p>
    <w:p>
      <w:pPr>
        <w:spacing w:before="40" w:after="40"/>
        <w:ind w:left="283"/>
      </w:pPr>
      <w:r>
        <w:rPr>
          <w:rFonts w:ascii="Calibri" w:hAnsi="Calibri"/>
          <w:b/>
          <w:color w:val="4A6B25"/>
          <w:sz w:val="20"/>
        </w:rPr>
        <w:t xml:space="preserve">3. </w:t>
      </w:r>
      <w:r>
        <w:rPr>
          <w:rFonts w:ascii="Calibri" w:hAnsi="Calibri"/>
          <w:b w:val="0"/>
          <w:color w:val="3A4A28"/>
          <w:sz w:val="20"/>
        </w:rPr>
        <w:t>Terminal value uncertainty as global energy transition accelerates — oil sands assets have 30-40 year production horizons that may not be fully realized if demand destruction from electrification and clean energy policy reduces crude oil consumption below economic extraction thresholds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Suncor's business is structurally immune to AI disruption. Oil sands mining, bitumen upgrading, crude refining, and fuel retail are physical-world operations that AI cannot replace [1][2]. These processes require massive capital infrastructure, regulatory approvals, geological resources, and decades of operational expertise that no software can substitute. In fact, AI adoption by other industries increases demand for energy — AI data centers require enormous power, and petroleum products remain essential for transportation, petrochemicals, and industrial applications. No analyst has flagged AI as a substitution risk for integrated oil producers. AI Opportunity (0/1): Suncor uses AI internally for operational optimization but does not generate revenue from AI products or services [3]. The company benefits indirectly from AI-driven energy demand growth, but this is not quantifiable as 'AI revenue' in the technology sense.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Suncor Energy Q2 2026 Earnings — Net Earnings $3.7B ($3.17/share), Record Throughput 471K bbls/d, Adj FFO $5.3B, Free Funds Flow $4.0B, $4.7B Buyback Plan, Net Debt $4.5B — July 2026</w:t>
      </w:r>
    </w:p>
    <w:p>
      <w:pPr>
        <w:spacing w:before="20" w:after="20"/>
        <w:ind w:left="170"/>
      </w:pPr>
      <w:r>
        <w:rPr>
          <w:rFonts w:ascii="Calibri" w:hAnsi="Calibri"/>
          <w:b/>
          <w:color w:val="4A6B25"/>
          <w:sz w:val="15"/>
        </w:rPr>
        <w:t xml:space="preserve">2. </w:t>
      </w:r>
      <w:r>
        <w:rPr>
          <w:rFonts w:ascii="Calibri" w:hAnsi="Calibri"/>
          <w:b w:val="0"/>
          <w:color w:val="3A4A28"/>
          <w:sz w:val="17"/>
        </w:rPr>
        <w:t>Suncor Energy Q1 2026 Earnings — Net Earnings $2.1B ($1.77/share), Adj Operating Earnings $2.3B ($1.93/share), Upstream and Downstream Volume Increases — May 2026</w:t>
      </w:r>
    </w:p>
    <w:p>
      <w:pPr>
        <w:spacing w:before="20" w:after="20"/>
        <w:ind w:left="170"/>
      </w:pPr>
      <w:r>
        <w:rPr>
          <w:rFonts w:ascii="Calibri" w:hAnsi="Calibri"/>
          <w:b/>
          <w:color w:val="4A6B25"/>
          <w:sz w:val="15"/>
        </w:rPr>
        <w:t xml:space="preserve">3. </w:t>
      </w:r>
      <w:r>
        <w:rPr>
          <w:rFonts w:ascii="Calibri" w:hAnsi="Calibri"/>
          <w:b w:val="0"/>
          <w:color w:val="3A4A28"/>
          <w:sz w:val="17"/>
        </w:rPr>
        <w:t>Suncor Energy ESG, Safety &amp; Leadership — 12 Fatalities in 8 Years, Tailings Dumping 2023, CEO Parliament Testimony, Climate Litigation, Greenwashing Allegations, Comparably D-Rating — Corp-Research, Environmental Defence, Globe and Mail</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SU Key Statistics: Forward P/E 19.44x, PEG 0.60, D/E 33%, ROE 13.20%, Profit Margin 15.78%, Dividend Yield 2.87%, Payout 31.65%, Stock Price $63.30,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