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TGB</w:t>
      </w:r>
      <w:r>
        <w:rPr>
          <w:rFonts w:ascii="Calibri" w:hAnsi="Calibri"/>
          <w:b/>
          <w:color w:val="1A2010"/>
          <w:sz w:val="40"/>
        </w:rPr>
        <w:t xml:space="preserve">  Taseko Mines Limited</w:t>
      </w:r>
    </w:p>
    <w:p>
      <w:pPr>
        <w:spacing w:after="120"/>
      </w:pPr>
      <w:r>
        <w:rPr>
          <w:rFonts w:ascii="Calibri" w:hAnsi="Calibri"/>
          <w:b/>
          <w:color w:val="6E8450"/>
          <w:sz w:val="18"/>
        </w:rPr>
        <w:t>GROWTH SLEEVE · 2026-08-24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Copper · NYSEAMERICAN · Canada</w:t>
      </w:r>
    </w:p>
    <w:p>
      <w:pPr>
        <w:spacing w:after="80"/>
      </w:pPr>
      <w:r>
        <w:rPr>
          <w:rFonts w:ascii="Calibri" w:hAnsi="Calibri"/>
          <w:b w:val="0"/>
          <w:color w:val="3A4A28"/>
          <w:sz w:val="20"/>
        </w:rPr>
        <w:t>Taseko Mines Limited (rebranding as Trekor Metals Limited) is a Canadian copper mining company operating the Gibraltar Mine in British Columbia, one of the largest open-pit copper-molybdenum mines in North America, and the newly commissioned Florence Copper in-situ recovery project in Arizona, which delivered its first full quarter of commercial production in Q2 2026. The company also holds development-stage interests in the Yellowhead copper and Aley niobium projects. Founded in 1966, headquartered in Vancouver, Canada.</w:t>
      </w:r>
    </w:p>
    <w:p>
      <w:r>
        <w:rPr>
          <w:rFonts w:ascii="Calibri" w:hAnsi="Calibri"/>
          <w:b/>
          <w:color w:val="6E8450"/>
          <w:sz w:val="18"/>
        </w:rPr>
        <w:t>703 Employees · https://www.tasekomines.com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Florence Copper reached first cathode production in March 2026 using in-situ copper recovery (ISCR) technology and delivered its first full commercial-production quarter in Q2 2026, contributing to record quarterly revenue of CAD 331M and CAD 125M adjusted EBITDA [1]. Gibraltar produced 30M lbs of copper at a C1 cost of $2.63/lb in Q1 2026, with Florence adding over 5M lbs of cathode in Q2 as ramp continues toward a 2026 target of 30-35M lbs [2]. AI Deployment (0/2): No evidence of AI-powered products or quantified AI-driven operational improvements was found; mining operations rely on standard process automation. Market Share (1/2): Combined Gibraltar (110-115M lbs) and Florence (30-35M lbs) output positions Taseko as a meaningful mid-cap North American copper producer, though not a global category leader. Product Pipeline (1/2): Florence Phase 2 expansion toward higher capacity and continued Gibraltar mill investment provide visible growth, though specific next-phase dates remain less firm than the initial Florence build [2]. R&amp;D Intensity (1/1): Investment in ISCR technology at Florence — commercial-scale in-situ leach recovery with materially lower carbon, water, and energy intensity than conventional open-pit mining — represents above-peer process innovation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distinct mission, purpose, or vision statement was found on Taseko's (Trekor Metals') public materials beyond describing its copper-production business. Community Impact (1/2): Taseko publishes annual ESG disclosures and reports Indigenous engagement initiatives at Gibraltar, but the New Prosperity project drew sustained Tsilhqot'in Nation opposition and was rejected twice by the Canadian federal government before a 2025 consent-based agreement (with a $75M provincial payment to the Nation) resolved the dispute [3]. Employee Retention (1/2): Long-tenured leadership — CEO Stuart McDonald with the company since 2013 (CFO, then CEO from 2021) — suggests above-average executive continuity, though no company-wide turnover data is available. Insider Buying (1/2): No notable open-market insider purchases were identified in the last 12 months; CEO McDonald led the Florence Copper build-out and the recent Mitsui strategic partnership and $500M bond refinancing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PEG (unavailable). Revenue growth is strong: TTM +70.3% and 5-year revenue CAGR of approximately 22.7%, both scoring 1.0 (5-year CAGR at 2x weight) — driven by Florence Copper coming online atop steady Gibraltar output [5]. Forward P/E of 13.65 scores 1.0, reflecting analyst expectations of a step-change in earnings as Florence reaches steady state. The balance sheet remains a drag: D/E of 89% scores 0.92, ROE of 2.21% scores only 0.15 (2x weight), and TTM profit margin of 1.59% scores 0.08 — all reflecting a company still absorbing Florence construction and ramp costs. Liquidity clears comfortably: 7.86M avg daily volume × $9.19 = $72.2M.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Taseko shows some infinite-game characteristics through its decade-long, on-budget Florence Copper development and stable executive leadership, but lacks an articulated purpose beyond copper production, and its history with the Tsilhqot'in Nation over New Prosperity and Gibraltar's Fraser River discharge permit reflects a company that has repeatedly prioritized commercial extraction over community consent until forced to negotiate.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Taseko does not articulate a Just Cause; it positions itself as a supplier of critical copper for electrification and the energy transition, a commercially-oriented purpose without distinctive inspiration. The pursuit of New Prosperity despite two federal rejections over sacred Indigenous land, and the contested Gibraltar tailings discharge into the Fraser River, undermine cause credibility, even as the 2025 Tsilhqot'in consent agreement shows belated evolution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McDonald's tenure since 2013 and a demonstrated ability to deliver Florence Copper on its roughly $275M budget through first production point to organizational execution capability. No public turnover or engagement data was found this cycle, so the score reflects adequate rather than exceptional evidence.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public evidence of Taseko framing larger rivals (Freeport-McMoRan, Teck Resources) as sources of learning or improvement; competitive messaging centers on Florence Copper's cost and environmental advantages rather than collaborative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Building Florence Copper on ISCR technology represents a real diversification from Gibraltar's traditional open-pit model into lower-cost, lower-impact in-situ extraction, now proven at commercial scale with a full production quarter delivered in Q2 2026 [1][2]. The pending Trekor Metals rebrand signals broader ambition, though the core business remains copper production.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Taseko committed roughly a decade and hundreds of millions of dollars to bring Florence Copper from concept to commercial production, absorbing construction-phase losses and executing a $500M bond refinancing to fund growth [4]. The New Prosperity history, however, shows the company has also pursued contested extraction opportunities until legally or politically blocked, tempering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Taseko offers leveraged exposure to the copper cycle at an attractive forward valuation of 13.65x earnings, with a genuine production inflection underway. Q2 2026 delivered record quarterly revenue of CAD 331M, CAD 183M operating cash flow, and CAD 125M adjusted EBITDA, as Florence Copper posted its first full quarter of commercial production (5M+ lbs cathode) alongside steady Gibraltar output (30M lbs in Q1 at $2.63/lb C1 cost) [1][2]. TTM revenue growth of 70.3% and a 5-year revenue CAGR near 23% reflect the Florence ramp layering onto an already-producing Gibraltar asset, with copper prices above CAD 6/lb providing a favorable pricing backdrop linked partly to AI/data-center-driven electrification demand.</w:t>
      </w:r>
    </w:p>
    <w:p>
      <w:pPr>
        <w:spacing w:after="120"/>
      </w:pPr>
      <w:r>
        <w:rPr>
          <w:rFonts w:ascii="Calibri" w:hAnsi="Calibri"/>
          <w:b w:val="0"/>
          <w:color w:val="3A4A28"/>
          <w:sz w:val="20"/>
        </w:rPr>
        <w:t>The bear case centers on balance-sheet leverage and execution risk. D/E of 89% and thin current profitability (TTM profit margin of 1.59%, ROE of 2.21%) reflect a company still absorbing Florence's construction and ramp costs, leaving it exposed to a sustained copper price pullback. Florence Copper's ISCR technology must continue proving out at full commercial scale — wellfield performance shortfalls or environmental incidents at the Arizona site could delay the ramp. Taseko remains a single-commodity producer with historically high volatility (beta near 2.0), and its trailing P/E of 318.69x underscores how much of the investment case depends on a forward earnings trajectory not yet fully realized. The unresolved history with the Tsilhqot'in Nation over Gibraltar's Fraser River discharge permit also represents an ongoing regulatory and reputational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Florence Copper sustaining its ramp toward 2026 guidance of 30-35M lbs following its first full commercial-production quarter in Q2 2026, validating ISCR technology at scale</w:t>
      </w:r>
    </w:p>
    <w:p>
      <w:pPr>
        <w:spacing w:before="40" w:after="40"/>
        <w:ind w:left="283"/>
      </w:pPr>
      <w:r>
        <w:rPr>
          <w:rFonts w:ascii="Calibri" w:hAnsi="Calibri"/>
          <w:b/>
          <w:color w:val="4A6B25"/>
          <w:sz w:val="20"/>
        </w:rPr>
        <w:t xml:space="preserve">2. </w:t>
      </w:r>
      <w:r>
        <w:rPr>
          <w:rFonts w:ascii="Calibri" w:hAnsi="Calibri"/>
          <w:b w:val="0"/>
          <w:color w:val="3A4A28"/>
          <w:sz w:val="20"/>
        </w:rPr>
        <w:t>Copper prices above CAD 6/lb supported by AI data-center and electrification-driven demand, directly flowing through to record quarterly revenue and EBITDA</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and margin expansion as Florence reaches steady-state production, following the $500M bond refinancing and Mitsui strategic partnership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89% combined with thin current profitability (1.59% margin, 2.21% ROE) leaves the balance sheet vulnerable to a sustained copper price decline</w:t>
      </w:r>
    </w:p>
    <w:p>
      <w:pPr>
        <w:spacing w:before="40" w:after="40"/>
        <w:ind w:left="283"/>
      </w:pPr>
      <w:r>
        <w:rPr>
          <w:rFonts w:ascii="Calibri" w:hAnsi="Calibri"/>
          <w:b/>
          <w:color w:val="4A6B25"/>
          <w:sz w:val="20"/>
        </w:rPr>
        <w:t xml:space="preserve">2. </w:t>
      </w:r>
      <w:r>
        <w:rPr>
          <w:rFonts w:ascii="Calibri" w:hAnsi="Calibri"/>
          <w:b w:val="0"/>
          <w:color w:val="3A4A28"/>
          <w:sz w:val="20"/>
        </w:rPr>
        <w:t>Florence Copper's in-situ recovery technology remains early in commercial-scale operation; wellfield performance issues or environmental incidents could delay the production ramp</w:t>
      </w:r>
    </w:p>
    <w:p>
      <w:pPr>
        <w:spacing w:before="40" w:after="40"/>
        <w:ind w:left="283"/>
      </w:pPr>
      <w:r>
        <w:rPr>
          <w:rFonts w:ascii="Calibri" w:hAnsi="Calibri"/>
          <w:b/>
          <w:color w:val="4A6B25"/>
          <w:sz w:val="20"/>
        </w:rPr>
        <w:t xml:space="preserve">3. </w:t>
      </w:r>
      <w:r>
        <w:rPr>
          <w:rFonts w:ascii="Calibri" w:hAnsi="Calibri"/>
          <w:b w:val="0"/>
          <w:color w:val="3A4A28"/>
          <w:sz w:val="20"/>
        </w:rPr>
        <w:t>Unresolved tension with the Tsilhqot'in Nation over the Gibraltar tailings discharge permit into the Fraser River represents an ongoing regulatory and reputational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Copper mining is structurally immune to AI disruption — AI cannot substitute for the physical extraction, leaching, and processing of copper metal, and Taseko's business is firmly rooted in geology, heavy equipment, and regulatory-intensive permitting [1][2]. More significantly, AI is a direct demand driver: data-center construction and the associated power and grid infrastructure buildout are copper-intensive, making Taseko a net beneficiary of AI adoption rather than a target of disruption. AI Opportunity (1/1): Rising copper prices (above CAD 6/lb in Q2 2026) are explicitly linked in market commentary to AI/data-center-driven demand alongside electrification, directly supporting Taseko's record Q2 2026 revenue and production-expansion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Taseko Announces Continued Strong Operational and Financial Results in the First Quarter 2026 — GlobeNewswire, May 6, 2026</w:t>
      </w:r>
    </w:p>
    <w:p>
      <w:pPr>
        <w:spacing w:before="20" w:after="20"/>
        <w:ind w:left="170"/>
      </w:pPr>
      <w:r>
        <w:rPr>
          <w:rFonts w:ascii="Calibri" w:hAnsi="Calibri"/>
          <w:b/>
          <w:color w:val="4A6B25"/>
          <w:sz w:val="15"/>
        </w:rPr>
        <w:t xml:space="preserve">2. </w:t>
      </w:r>
      <w:r>
        <w:rPr>
          <w:rFonts w:ascii="Calibri" w:hAnsi="Calibri"/>
          <w:b w:val="0"/>
          <w:color w:val="3A4A28"/>
          <w:sz w:val="17"/>
        </w:rPr>
        <w:t>Taseko Mines Q2 2026 Earnings Call Highlights — record CAD 331M revenue, Florence full-quarter production — TradingView/Yahoo Finance, August 2026</w:t>
      </w:r>
    </w:p>
    <w:p>
      <w:pPr>
        <w:spacing w:before="20" w:after="20"/>
        <w:ind w:left="170"/>
      </w:pPr>
      <w:r>
        <w:rPr>
          <w:rFonts w:ascii="Calibri" w:hAnsi="Calibri"/>
          <w:b/>
          <w:color w:val="4A6B25"/>
          <w:sz w:val="15"/>
        </w:rPr>
        <w:t xml:space="preserve">3. </w:t>
      </w:r>
      <w:r>
        <w:rPr>
          <w:rFonts w:ascii="Calibri" w:hAnsi="Calibri"/>
          <w:b w:val="0"/>
          <w:color w:val="3A4A28"/>
          <w:sz w:val="17"/>
        </w:rPr>
        <w:t>Tŝilhqot'in Nation / Gibraltar Fraser River discharge and New Prosperity history — MiningWatch Canada, The Narwhal, CBC News</w:t>
      </w:r>
    </w:p>
    <w:p>
      <w:pPr>
        <w:spacing w:before="20" w:after="20"/>
        <w:ind w:left="170"/>
      </w:pPr>
      <w:r>
        <w:rPr>
          <w:rFonts w:ascii="Calibri" w:hAnsi="Calibri"/>
          <w:b/>
          <w:color w:val="4A6B25"/>
          <w:sz w:val="15"/>
        </w:rPr>
        <w:t xml:space="preserve">4. </w:t>
      </w:r>
      <w:r>
        <w:rPr>
          <w:rFonts w:ascii="Calibri" w:hAnsi="Calibri"/>
          <w:b w:val="0"/>
          <w:color w:val="3A4A28"/>
          <w:sz w:val="17"/>
        </w:rPr>
        <w:t>Stuart McDonald CEO profile, Mitsui partnership, $500M bond refinancing — Fintool, Taseko Mines investor materials</w:t>
      </w:r>
    </w:p>
    <w:p>
      <w:pPr>
        <w:spacing w:before="20" w:after="20"/>
        <w:ind w:left="170"/>
      </w:pPr>
      <w:r>
        <w:rPr>
          <w:rFonts w:ascii="Calibri" w:hAnsi="Calibri"/>
          <w:b/>
          <w:color w:val="4A6B25"/>
          <w:sz w:val="15"/>
        </w:rPr>
        <w:t xml:space="preserve">5. </w:t>
      </w:r>
      <w:r>
        <w:rPr>
          <w:rFonts w:ascii="Calibri" w:hAnsi="Calibri"/>
          <w:b w:val="0"/>
          <w:color w:val="3A4A28"/>
          <w:sz w:val="17"/>
        </w:rPr>
        <w:t>Trekor Metals (TGB) Stock Price, Financial Ratios, and Income Statement — stockanalysis.com,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