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WULF</w:t>
      </w:r>
      <w:r>
        <w:rPr>
          <w:rFonts w:ascii="Calibri" w:hAnsi="Calibri"/>
          <w:b/>
          <w:color w:val="1A2010"/>
          <w:sz w:val="40"/>
        </w:rPr>
        <w:t xml:space="preserve">  TeraWulf Inc.</w:t>
      </w:r>
    </w:p>
    <w:p>
      <w:pPr>
        <w:spacing w:after="120"/>
      </w:pPr>
      <w:r>
        <w:rPr>
          <w:rFonts w:ascii="Calibri" w:hAnsi="Calibri"/>
          <w:b/>
          <w:color w:val="6E8450"/>
          <w:sz w:val="18"/>
        </w:rPr>
        <w:t>GROWTH SLEEVE · 2026-08-12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TeraWulf is a digital infrastructure company that has pivoted from Bitcoin mining to high-performance computing (HPC) hosting for AI workloads. Operates the Lake Mariner facility in New York State powered by 95% zero-carbon energy. Q2 2026 revenue of $44.8M with HPC lease revenue of $31.9M representing 71% of total revenue, up from 50% in Q1. Won a landmark ~$19B Anthropic contract for AI data center capacity through competitive bidding centered on grid power access and long-term infrastructure. Currently operating 102 MW of revenue-generating critical IT capacity at Lake Mariner, targeting 250-500 MW of new contracted capacity annually. Holds approximately $3.0B in cash and restricted cash.</w:t>
      </w:r>
    </w:p>
    <w:p>
      <w:r>
        <w:rPr>
          <w:rFonts w:ascii="Calibri" w:hAnsi="Calibri"/>
          <w:b/>
          <w:color w:val="6E8450"/>
          <w:sz w:val="18"/>
        </w:rPr>
        <w:t>141 Employees · https://www.terawulf.com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TeraWulf executed one of the most significant business model pivots in the digital infrastructure space — transitioning from Bitcoin mining to AI/HPC data center hosting. HPC lease revenue grew from zero to $31.9M per quarter (71% of total revenue) in under two years [1]. The ~$19B Anthropic contract win validates the company's infrastructure capabilities against 25+ competing counterparties and represents a transformative deal that redefined TeraWulf's revenue trajectory and strategic identity [3]. AI Deployment (2/2): TeraWulf directly provides AI infrastructure — its HPC hosting facilities power AI training and inference workloads for major AI companies including Anthropic. Q2 2026 HPC lease revenue of $31.9M represents quantifiable AI-related revenue with clear growth trajectory (up from $21.0M in Q1) [1][2]. Market Share (1/2): Meaningful but not dominant player in the AI data center infrastructure space. The Anthropic contract establishes TeraWulf as a credible competitor, but it trails hyperscalers (AWS, Azure, GCP) and established data center operators (Equinix, Digital Realty) in scale [3]. Product Pipeline (2/2): Clear capacity expansion pipeline — completed CB-3 delivery in July 2026 increasing capacity to 102 MW, with annual targets of 250-500 MW of new contracted capacity [1]. Specific milestones and revenue visibility from long-term lease contracts. R&amp;D Intensity (0/1): Infrastructure operator rather than R&amp;D-driven company; innovation comes through capital deployment and operational execution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TeraWulf positions itself as 'Energy Infrastructure for the Age of AI' — clear and timely but fundamentally a business description rather than a deeper purpose [3]. It identifies what the company does and for whom but doesn't articulate a vision of a better future beyond commercial AI infrastructure. The zero-carbon energy commitment adds a values dimension but doesn't elevate the mission to distinctive. Community Impact (1/2): TeraWulf's 95% zero-carbon energy operations represent genuine environmental commitment, and the company published an inaugural CSR report in 2024 outlining commitments to workforce health/safety, employee engagement, and diversity [4]. However, no specific charitable programs, community investment dollar amounts, or measurable social impact beyond environmental operations have been cited. Employee Retention (0/2): With only 141 employees, the company is too small for meaningful retention data. No public information on turnover rates or tenure. Insider Buying (0/2): No evidence of meaningful net insider buying by executives in the last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TeraWulf's infrastructure score is severely penalized by its current financial profile despite strong strategic positioning. D/E of 3699% (36.99x) reflects a highly leveraged balance sheet that scores 0, though the $3.0B in cash and restricted cash provides substantial liquidity that the ratio alone does not capture [2]. ROE of -343.69% scores 0, driven by massive non-cash fair value adjustments on warrants ($939.9M net loss in Q2 2026) rather than operational losses [1]. Revenue growth YoY of approximately -3% (Q2 revenue of $44.8M vs. $47.6M prior year) scores 0.57 as total revenue dipped while the mix shifted dramatically from bitcoin mining to higher-value HPC hosting [1]. Forward P/E of 316.89x scores 0 due to current unprofitability. Profit margin at approximately 0% scores 0. The stock clears the liquidity floor with ~$1.05B in daily trading volume. The mechanical scoring does not capture the company's $19B contracted backlog or the strategic value of its power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TeraWulf demonstrates strong infinite game characteristics in its willingness to reinvent itself — the bold pivot from Bitcoin mining to AI infrastructure hosting was a transformative strategic decision driven by where the market was heading rather than clinging to a legacy business model [3]. CEO Prager's emphasis on 'delivering results underpinned by finalized agreements' and engaging with 25+ counterparties before selecting Anthropic shows deliberate, long-term-oriented decision-making. However, the company is too young (founded 2021) to have proven its cause through multi-decade consistency, and the Just Cause remains more of a business description than an inspiring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TeraWulf's purpose — 'Energy Infrastructure for the Age of AI' — describes what the company does rather than articulating a vision of a future state worth sacrificing for [3]. The zero-carbon energy commitment adds a values dimension, and the company's focus on sustainable infrastructure connects to something beyond pure profit. But the cause has not been tested through crisis or multi-decade consistency, and it reads more as strategic positioning than a deeply held organizational belief. Prager's entrepreneurial track record (Beowulf Electricity since 1990) suggests long-term thinking but not yet a validated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141 employees, TeraWulf operates as a small, focused team with stable leadership under founder-CEO Paul Prager [3]. The company's deliberate approach to counterparty selection (evaluating 25+ partners, prioritizing 'certainty and execution over speed') suggests a culture that values thoughtful decision-making over reactive haste. No evidence of layoffs, high turnover, or cultural red flags. However, the company is too small and young for meaningful data on organizational trust, psychological safety, or employee empowerment beyond leadership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TeraWulf's competitive positioning frames competition as quality differentiation rather than market share warfare — CEO Prager's statement that 'not all megawatts are created equally' positions the company as competing on the quality of its power assets (zero-carbon, grid-connected, reliable) rather than on destroying competitors [3]. The company won the Anthropic contract not through predatory pricing but through superior infrastructure fundamentals, demonstrating a competitive posture oriented toward being the best rather than beating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TeraWulf's pivot from Bitcoin mining to AI/HPC data center hosting is a textbook example of existential flexibility. The company fundamentally reinvented its business model — HPC revenue went from zero to 71% of total revenue in under two years, while bitcoin mining revenue declined from nearly 100% to 29% [1][2]. This was not a desperate pivot driven by failure but a strategic decision to pursue the higher-value opportunity while the Bitcoin mining business was still generating revenue. The willingness to cannibalize a working business model in pursuit of a transformative opportunity is exactly what Sinek describes.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decision to pivot from profitable Bitcoin mining to AI infrastructure hosting required genuine courage — walking away from established revenue streams to pursue an unproven opportunity in a new market [3]. Prager's deliberate approach of engaging 25+ counterparties over nine months, conducting exhaustive due diligence, and prioritizing 'certainty and execution over speed' demonstrates willingness to sacrifice near-term momentum for long-term positioning. The company invested heavily in infrastructure buildout ($3B+ in capital) before the revenue materialized, accepting years of losses to build the platform that won the Anthropic contract.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TeraWulf has executed one of the most compelling strategic pivots in the digital infrastructure space — from Bitcoin mining to AI data center hosting — winning a landmark ~$19B Anthropic contract that provides decades of contracted revenue visibility [3]. HPC lease revenue reached $31.9M in Q2 2026 (71% of total), up 52% sequentially, with 102 MW of operational capacity and a pipeline targeting 250-500 MW of new capacity annually [1]. The company's zero-carbon power assets (95% clean energy) and grid-connected Lake Mariner facility provide structural competitive advantages as AI companies increasingly prioritize sustainable, reliable power for compute-intensive workloads. With $3.0B in cash and restricted cash, TeraWulf has the liquidity to fund its expansion without dilutive capital raises. The Inspire Impact Score of 53 (ALIGNED) makes this one of the few pure-play AI infrastructure companies accessible to faith-based investors.</w:t>
      </w:r>
    </w:p>
    <w:p>
      <w:pPr>
        <w:spacing w:after="120"/>
      </w:pPr>
      <w:r>
        <w:rPr>
          <w:rFonts w:ascii="Calibri" w:hAnsi="Calibri"/>
          <w:b w:val="0"/>
          <w:color w:val="3A4A28"/>
          <w:sz w:val="20"/>
        </w:rPr>
        <w:t>The bear case centers on financial profile and execution risk. The D/E ratio of 3699% reflects extreme leverage relative to a thin equity base, and ROE of -343.69% is driven by massive non-cash warrant fair value adjustments ($939.9M net loss in Q2 alone) that distort the true operating picture [1][5]. Forward P/E of 316.89x prices in future profitability that has not yet materialized — the company is still pre-profit on a GAAP basis. Total revenue of $44.8M actually declined 6% YoY as the bitcoin mining business contracted faster than HPC revenue scaled [1]. The Anthropic contract, while transformative, concentrates customer risk in a single counterparty for the bulk of future revenue. Building 250-500 MW of new capacity annually requires significant capital expenditure with execution risk on timelines, permitting, and grid interconnection. The company has only 141 employees to manage this expansion, creating operational scalability concerns. Analyst estimates are volatile with Q1 2026 EPS missing expectations at -$1.01 vs. -$0.20 estimate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Anthropic contract (~$19B over its life) provides unprecedented revenue visibility for a company of this size — as capacity is delivered and ramped, HPC lease revenue should scale from $31.9M/quarter toward $100M+ quarterly run-rates, potentially driving a re-rating from 'speculative mining company' to 'contracted AI infrastructure' multiple [3]</w:t>
      </w:r>
    </w:p>
    <w:p>
      <w:pPr>
        <w:spacing w:before="40" w:after="40"/>
        <w:ind w:left="283"/>
      </w:pPr>
      <w:r>
        <w:rPr>
          <w:rFonts w:ascii="Calibri" w:hAnsi="Calibri"/>
          <w:b/>
          <w:color w:val="4A6B25"/>
          <w:sz w:val="20"/>
        </w:rPr>
        <w:t xml:space="preserve">2. </w:t>
      </w:r>
      <w:r>
        <w:rPr>
          <w:rFonts w:ascii="Calibri" w:hAnsi="Calibri"/>
          <w:b w:val="0"/>
          <w:color w:val="3A4A28"/>
          <w:sz w:val="20"/>
        </w:rPr>
        <w:t>Capacity expansion from 102 MW to 250-500 MW annually represents a 3-5x increase in revenue-generating infrastructure, with each megawatt of HPC hosting generating significantly higher margins than bitcoin mining on a per-unit basis [1]</w:t>
      </w:r>
    </w:p>
    <w:p>
      <w:pPr>
        <w:spacing w:before="40" w:after="40"/>
        <w:ind w:left="283"/>
      </w:pPr>
      <w:r>
        <w:rPr>
          <w:rFonts w:ascii="Calibri" w:hAnsi="Calibri"/>
          <w:b/>
          <w:color w:val="4A6B25"/>
          <w:sz w:val="20"/>
        </w:rPr>
        <w:t xml:space="preserve">3. </w:t>
      </w:r>
      <w:r>
        <w:rPr>
          <w:rFonts w:ascii="Calibri" w:hAnsi="Calibri"/>
          <w:b w:val="0"/>
          <w:color w:val="3A4A28"/>
          <w:sz w:val="20"/>
        </w:rPr>
        <w:t>Zero-carbon energy positioning (95% clean power) provides regulatory and ESG tailwinds as data center energy consumption faces increasing scrutiny — TeraWulf's green power advantage could attract additional AI customers with sustainability mandates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as the ~$19B Anthropic contract represents the vast majority of future HPC revenue — any renegotiation, delay, or financial difficulty at Anthropic would materially impact TeraWulf's growth trajectory and valuation [3]</w:t>
      </w:r>
    </w:p>
    <w:p>
      <w:pPr>
        <w:spacing w:before="40" w:after="40"/>
        <w:ind w:left="283"/>
      </w:pPr>
      <w:r>
        <w:rPr>
          <w:rFonts w:ascii="Calibri" w:hAnsi="Calibri"/>
          <w:b/>
          <w:color w:val="4A6B25"/>
          <w:sz w:val="20"/>
        </w:rPr>
        <w:t xml:space="preserve">2. </w:t>
      </w:r>
      <w:r>
        <w:rPr>
          <w:rFonts w:ascii="Calibri" w:hAnsi="Calibri"/>
          <w:b w:val="0"/>
          <w:color w:val="3A4A28"/>
          <w:sz w:val="20"/>
        </w:rPr>
        <w:t>GAAP financial profile is severely distorted by non-cash warrant fair value adjustments ($939.9M net loss in Q2 2026) creating D/E of 3699% and ROE of -343.69% — investors must look through GAAP metrics to assess the underlying business, but these distortions limit institutional capital access [1][5]</w:t>
      </w:r>
    </w:p>
    <w:p>
      <w:pPr>
        <w:spacing w:before="40" w:after="40"/>
        <w:ind w:left="283"/>
      </w:pPr>
      <w:r>
        <w:rPr>
          <w:rFonts w:ascii="Calibri" w:hAnsi="Calibri"/>
          <w:b/>
          <w:color w:val="4A6B25"/>
          <w:sz w:val="20"/>
        </w:rPr>
        <w:t xml:space="preserve">3. </w:t>
      </w:r>
      <w:r>
        <w:rPr>
          <w:rFonts w:ascii="Calibri" w:hAnsi="Calibri"/>
          <w:b w:val="0"/>
          <w:color w:val="3A4A28"/>
          <w:sz w:val="20"/>
        </w:rPr>
        <w:t>Execution risk on 250-500 MW annual capacity buildout with only 141 employees — permitting, grid interconnection, construction, and cooling system deployment at this scale require rapid organizational scaling and capital deployment in a competitive market for power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TeraWulf IS AI infrastructure — the company provides the physical computing capacity that AI companies require to train and deploy models. AI cannot displace what TeraWulf does; it depends on it [3]. The business involves physical-world operations (data centers, power infrastructure, cooling systems) deeply tied to essential infrastructure that AI structurally cannot replace. As AI workloads scale exponentially, demand for TeraWulf's core offering — high-quality power with grid access for AI compute — increases directly. CEO Prager's statement that 'not all megawatts are created equally in the AI race' reflects the company's structural advantage in providing zero-carbon, grid-connected power assets [3]. The ~$19B Anthropic contract demonstrates that major AI companies view TeraWulf's infrastructure as essential. AI Opportunity (1/1): TeraWulf generates substantial and growing AI revenue — $31.9M in HPC lease revenue in Q2 2026 (71% of total revenue), up 52% sequentially from $21.0M in Q1 [1][2]. The Anthropic contract provides decades of contracted AI revenue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TeraWulf Q2 2026 Earnings Release — Revenue $44.8M, HPC Lease Revenue $31.9M (71% of total), 102 MW Capacity, Net Loss $939.9M (non-cash warrant adjustments), August 2026</w:t>
      </w:r>
    </w:p>
    <w:p>
      <w:pPr>
        <w:spacing w:before="20" w:after="20"/>
        <w:ind w:left="170"/>
      </w:pPr>
      <w:r>
        <w:rPr>
          <w:rFonts w:ascii="Calibri" w:hAnsi="Calibri"/>
          <w:b/>
          <w:color w:val="4A6B25"/>
          <w:sz w:val="15"/>
        </w:rPr>
        <w:t xml:space="preserve">2. </w:t>
      </w:r>
      <w:r>
        <w:rPr>
          <w:rFonts w:ascii="Calibri" w:hAnsi="Calibri"/>
          <w:b w:val="0"/>
          <w:color w:val="3A4A28"/>
          <w:sz w:val="17"/>
        </w:rPr>
        <w:t>TeraWulf Q1 2026 Earnings Release — Revenue $34.0M, HPC Revenue $21.0M (50%+ of total), $3.1B Cash and Restricted Cash, May 2026</w:t>
      </w:r>
    </w:p>
    <w:p>
      <w:pPr>
        <w:spacing w:before="20" w:after="20"/>
        <w:ind w:left="170"/>
      </w:pPr>
      <w:r>
        <w:rPr>
          <w:rFonts w:ascii="Calibri" w:hAnsi="Calibri"/>
          <w:b/>
          <w:color w:val="4A6B25"/>
          <w:sz w:val="15"/>
        </w:rPr>
        <w:t xml:space="preserve">3. </w:t>
      </w:r>
      <w:r>
        <w:rPr>
          <w:rFonts w:ascii="Calibri" w:hAnsi="Calibri"/>
          <w:b w:val="0"/>
          <w:color w:val="3A4A28"/>
          <w:sz w:val="17"/>
        </w:rPr>
        <w:t>TeraWulf CEO Strategy &amp; Anthropic Contract — ~$19B Contract Win, 25+ Counterparty Evaluation, Bitcoin-to-HPC Pivot, 'Not All Megawatts Created Equally,' CNBC/CoinDesk, March-July 2026</w:t>
      </w:r>
    </w:p>
    <w:p>
      <w:pPr>
        <w:spacing w:before="20" w:after="20"/>
        <w:ind w:left="170"/>
      </w:pPr>
      <w:r>
        <w:rPr>
          <w:rFonts w:ascii="Calibri" w:hAnsi="Calibri"/>
          <w:b/>
          <w:color w:val="4A6B25"/>
          <w:sz w:val="15"/>
        </w:rPr>
        <w:t xml:space="preserve">4. </w:t>
      </w:r>
      <w:r>
        <w:rPr>
          <w:rFonts w:ascii="Calibri" w:hAnsi="Calibri"/>
          <w:b w:val="0"/>
          <w:color w:val="3A4A28"/>
          <w:sz w:val="17"/>
        </w:rPr>
        <w:t>TeraWulf CSR Report — 95% Zero-Carbon Energy, Environmental Commitment, Workforce Health/Safety, Diversity Goals, April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WULF Key Statistics: Forward P/E 316.89, D/E 36.99, ROE -343.69%, Stock Price $26.26, 141 Employees,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