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AADX</w:t>
      </w:r>
      <w:r>
        <w:rPr>
          <w:rFonts w:ascii="Calibri" w:hAnsi="Calibri"/>
          <w:b/>
          <w:color w:val="1A2010"/>
          <w:sz w:val="40"/>
        </w:rPr>
        <w:t xml:space="preserve">  Applied Aerospace &amp; Defense, Inc.</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NYQ · United States</w:t>
      </w:r>
    </w:p>
    <w:p>
      <w:pPr>
        <w:spacing w:after="80"/>
      </w:pPr>
      <w:r>
        <w:rPr>
          <w:rFonts w:ascii="Calibri" w:hAnsi="Calibri"/>
          <w:b w:val="0"/>
          <w:color w:val="3A4A28"/>
          <w:sz w:val="20"/>
        </w:rPr>
        <w:t>Applied Aerospace &amp; Defense, Inc. designs, engineers, and manufactures integrated aerospace and defense subsystems for space and defense applications across three segments: Space and Launch Systems (propellant tanks, engine nozzles, solar arrays, Spinnaker de-orbit systems), Defense Aviation and Airborne Systems (wings, landing gear, fuel tanks, engine components), and C5ISR and Precision Strike Systems (radar antennas, missile bodies, directed energy systems). IPO'd in June 2026 at $20/share, AADX holds 87% sole- or single-source contract positions and reported Q2 2026 revenue of $167.3M (+47.4% YoY) with contract backlog exceeding $1.1B. Headquartered in Huntsville, Alabama.</w:t>
      </w:r>
    </w:p>
    <w:p>
      <w:r>
        <w:rPr>
          <w:rFonts w:ascii="Calibri" w:hAnsi="Calibri"/>
          <w:b/>
          <w:color w:val="6E8450"/>
          <w:sz w:val="18"/>
        </w:rPr>
        <w:t>1,542 Employees · https://applied-ad.com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Applied Aerospace was assembled through acquisitions of specialized aerospace manufacturing businesses and IPO'd in June 2026, consolidating fragmented niche capabilities into an integrated platform [1]. While operationally sound, this roll-up strategy represents financial engineering more than product innovation or market-creating transformation. AI Deployment (0/2): No evidence of AI-powered products or measurable AI-driven improvements; the company's value proposition is IP-enabled manufacturing processes using specialized composite, metallic, and polymer fabrication, not software or data-driven products [3]. Market Share (2/2): AADX holds dominant niche positions with 87% of revenue from sole-source or single-source contracts — meaning no competitor can supply these specific components, effectively creating a category monopoly in propellant tanks, engine nozzles, missile bodies, and satellite bus assemblies for specific defense platforms [1][3]. Product Pipeline (1/2): The Spinnaker de-orbit system for satellite end-of-life compliance represents a specific next-generation product addressing the growing space sustainability mandate, and Space and Launch Systems revenue grew 58.5% YoY, but other product timelines are tied to classified defense programs with limited disclosure [1][2]. R&amp;D Intensity (0/1): No specific R&amp;D spend data available for this recently public company; investment appears embedded in engineering labor and specialized equipment rather than a separately reported R&amp;D budget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Applied Aerospace describes itself as designing, engineering, and manufacturing 'integrated aerospace and defense subsystems' — a functional description of its capabilities, not an articulated purpose or mission. No vision or values statement is prominently featured [3]. CEO Trip Ferguson references 'the unique culture that makes Applied a great place to work' but does not articulate a cause beyond delivering defense hardware [4]. Community Impact (0/2): No evidence of charitable programs, community investment, or social impact initiatives for this recently IPO'd company; Huntsville, Alabama headquarters suggests community ties but no specific programs are documented [3]. Employee Retention (0/2): With 1,542 employees in a newly public entity, no retention data or turnover metrics are available. The company hired Chris Rogers as President and CSO in August 2026, suggesting leadership build-out rather than stability [4]. Insider Buying (0/2): No evidence of open-market insider buying; insider ownership is primarily through the IPO transaction structure and pre-IPO equity holdings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(several excluded due to the company's recent IPO and limited operating history). D/E of 52.1% is below the 70% target (score 1.0), reflecting the IPO proceeds that reduced pro forma net leverage to 2.7x [1][5]. ROE is unavailable and excluded due to the company's net loss position. Revenue growth of 47.4% YoY significantly exceeds the 10% target (score 1.0), driven by organic growth across all three segments with Space and Launch up 58.5% and pro forma growth of 21.3% [1][2]. Revenue growth 5-year CAGR and PEG ratio are unavailable (company too young for historical data) and excluded. Forward P/E of 28.8x is below the 60x floor (score 0.78), reflecting the transition from current unprofitability toward expected profitability in 2027 [5]. Profit margin of -30.2% is deeply negative (score 0.0), driven by $110M in IPO-related share-based compensation charges that mask underlying operational performance — Adjusted EBITDA margin was approximately 22% [1]. Daily dollar volume of $18.3M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Applied Aerospace &amp; Defense is too young as a public entity to demonstrate meaningful infinite-game characteristics. The company was assembled through private equity acquisitions, IPO'd six months ago, and is still building its leadership team and organizational identity. While the defense manufacturing mission serves national security — an enduring purpose — the company has not yet articulated this as a Just Cause, demonstrated courageous leadership through adversity, or shown competitive philosophy beyond securing sole-source positions. Assessment is constrained by the company's brief public history.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company's work — manufacturing critical hardware for rockets, missiles, satellites, and aircraft — inherently serves national security and space exploration, which could constitute a Just Cause if articulated as such. However, AADX frames its purpose in terms of capabilities and contract positions rather than a vision of a better future [3]. CEO Ferguson references culture but has not publicly articulated a cause beyond building defense hardware and generating shareholder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 a 1,542-employee organization headquartered in Huntsville, Alabama — the heart of U.S. defense and space manufacturing — AADX benefits from a specialized workforce culture centered on precision engineering and quality craftsmanship [3][4]. CEO Ferguson's reference to 'the unique culture that makes Applied a great place to work' suggests awareness of organizational health. However, the company is only four months post-IPO with ongoing leadership additions (Chris Rogers as President in August 2026), making trust assessment premature.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With 87% sole-source positions, AADX essentially operates without direct competitors on most programs [1][3]. This monopoly position eliminates the competitive dynamics that would reveal whether the company has a worthy-rival mindset. The company's competitive language focuses on securing positions and winning new programs rather than learning from peers.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AADX has not faced a strategic pivot test. The company was assembled through acquisitions specifically to serve defense and space hardware manufacturing, and it continues to operate in that exact domain [3]. At only four months as a public company with no evidence of strategic reinvention, this dimension cannot be meaningfully assessed. The Spinnaker de-orbit system represents an adjacent product extension, not a transformative pivot.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beyond the IPO itself. The company has not been tested through adversity, cyclical downturns, or strategic crossroads as a public entity [3]. Leadership is still being assembled (President/CSO hired August 2026, EVP Business Development recently added), and the company has not yet faced a situation requiring sacrifice of near-term results for long-term capability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Applied Aerospace &amp; Defense at $11.45 with a $2.0B market cap offers exposure to a high-growth defense and space manufacturing platform trading 43% below its June 2026 IPO price of $20. Revenue surged 47.4% YoY to a record $167.3M in Q2 2026, with all three segments growing — Space and Launch up 58.5%, C5ISR up $13.7M, and Defense Aviation up 4.8% [1][2]. The $1.13B contract backlog provides 7+ quarters of revenue visibility, and 87% sole-source positions create durable competitive moats with multi-decade qualification cycles [1][3]. Adjusted EBITDA of $36.4M (approximately 22% margin) demonstrates underlying profitability masked by $110M in one-time IPO share-based compensation charges, and analysts project 47% annual earnings growth with a consensus Buy rating and $25.14 price target — representing over 100% upside from current levels [5]. The defense spending environment remains favorable with bipartisan support for military modernization and space infrastructure investment.</w:t>
      </w:r>
    </w:p>
    <w:p>
      <w:pPr>
        <w:spacing w:after="120"/>
      </w:pPr>
      <w:r>
        <w:rPr>
          <w:rFonts w:ascii="Calibri" w:hAnsi="Calibri"/>
          <w:b w:val="0"/>
          <w:color w:val="3A4A28"/>
          <w:sz w:val="20"/>
        </w:rPr>
        <w:t>The bear case centers on early-stage public company risk and current unprofitability. AADX reported a $154M net loss in Q2 2026, and while the majority was IPO-related non-cash charges, the -30.2% GAAP profit margin and negative operating cash flow of -$94M raise questions about the company's path to reported profitability [1][5]. The stock's 43% decline from its $20 IPO price to $11.45 reflects market skepticism about the company's ability to convert backlog into earnings, and the Forward P/E of 28.8x on forward EPS of $0.40 demands meaningful execution improvement. The company carries $431M in debt against only $18M in cash, and with no dividend and negative free cash flow, shareholders rely entirely on capital appreciation. As a recent IPO with limited public operating history, AADX lacks the track record to validate management's execution capability across a full cycle. The defense sector faces budget uncertainty with potential sequestration, continuing resolution risks, and shifting administration priorities that could delay or cancel programs in AADX's backlog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$1.13B contract backlog into revenue acceleration, with Space and Launch Systems growing 58.5% YoY and commercial space demand for satellite components and launch vehicle hardware expanding with SpaceX, ULA, and emerging launch providers [1][2]</w:t>
      </w:r>
    </w:p>
    <w:p>
      <w:pPr>
        <w:spacing w:before="40" w:after="40"/>
        <w:ind w:left="283"/>
      </w:pPr>
      <w:r>
        <w:rPr>
          <w:rFonts w:ascii="Calibri" w:hAnsi="Calibri"/>
          <w:b/>
          <w:color w:val="4A6B25"/>
          <w:sz w:val="20"/>
        </w:rPr>
        <w:t xml:space="preserve">2. </w:t>
      </w:r>
      <w:r>
        <w:rPr>
          <w:rFonts w:ascii="Calibri" w:hAnsi="Calibri"/>
          <w:b w:val="0"/>
          <w:color w:val="3A4A28"/>
          <w:sz w:val="20"/>
        </w:rPr>
        <w:t>Transition from IPO-burdened financials to normalized profitability in 2027, with one-time share-based compensation charges falling away and Adjusted EBITDA margins of approximately 22% flowing through to reported earnings and positive free cash flow [1]</w:t>
      </w:r>
    </w:p>
    <w:p>
      <w:pPr>
        <w:spacing w:before="40" w:after="40"/>
        <w:ind w:left="283"/>
      </w:pPr>
      <w:r>
        <w:rPr>
          <w:rFonts w:ascii="Calibri" w:hAnsi="Calibri"/>
          <w:b/>
          <w:color w:val="4A6B25"/>
          <w:sz w:val="20"/>
        </w:rPr>
        <w:t xml:space="preserve">3. </w:t>
      </w:r>
      <w:r>
        <w:rPr>
          <w:rFonts w:ascii="Calibri" w:hAnsi="Calibri"/>
          <w:b w:val="0"/>
          <w:color w:val="3A4A28"/>
          <w:sz w:val="20"/>
        </w:rPr>
        <w:t>Defense modernization tailwinds from bipartisan military spending support, hypersonics development, directed energy systems, and satellite proliferation driving demand for AADX's C5ISR and precision strike hardware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Early-stage public company risk with only four months of reported results, -30.2% GAAP margins, negative $94M operating cash flow, and $431M debt against $18M cash — the company must execute a rapid transition to profitability to justify its valuation [1][5]</w:t>
      </w:r>
    </w:p>
    <w:p>
      <w:pPr>
        <w:spacing w:before="40" w:after="40"/>
        <w:ind w:left="283"/>
      </w:pPr>
      <w:r>
        <w:rPr>
          <w:rFonts w:ascii="Calibri" w:hAnsi="Calibri"/>
          <w:b/>
          <w:color w:val="4A6B25"/>
          <w:sz w:val="20"/>
        </w:rPr>
        <w:t xml:space="preserve">2. </w:t>
      </w:r>
      <w:r>
        <w:rPr>
          <w:rFonts w:ascii="Calibri" w:hAnsi="Calibri"/>
          <w:b w:val="0"/>
          <w:color w:val="3A4A28"/>
          <w:sz w:val="20"/>
        </w:rPr>
        <w:t>Defense budget uncertainty from potential sequestration, continuing resolutions, and administration priority shifts that could delay or cancel programs in AADX's $1.13B backlog, with the company's concentrated customer base (primarily U.S. DoD and prime contractors) amplifying fiscal risk [3]</w:t>
      </w:r>
    </w:p>
    <w:p>
      <w:pPr>
        <w:spacing w:before="40" w:after="40"/>
        <w:ind w:left="283"/>
      </w:pPr>
      <w:r>
        <w:rPr>
          <w:rFonts w:ascii="Calibri" w:hAnsi="Calibri"/>
          <w:b/>
          <w:color w:val="4A6B25"/>
          <w:sz w:val="20"/>
        </w:rPr>
        <w:t xml:space="preserve">3. </w:t>
      </w:r>
      <w:r>
        <w:rPr>
          <w:rFonts w:ascii="Calibri" w:hAnsi="Calibri"/>
          <w:b w:val="0"/>
          <w:color w:val="3A4A28"/>
          <w:sz w:val="20"/>
        </w:rPr>
        <w:t>IPO lock-up expiration risk with pre-IPO private equity shareholders potentially selling into a stock already 43% below the $20 IPO price, creating additional downward pressure on shares during a period when the company needs capital market credibility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Manufacturing propellant tanks, engine nozzles, missile bodies, landing gear, and radar antennas requires physical fabrication processes — composite layup, metallic forming, precision machining, and specialized welding — that AI structurally cannot substitute [1][3]. The company's products are embedded in classified defense platforms with decades-long qualification cycles, ITAR/EAR export controls, and rigorous performance testing that create regulatory moats beyond any AI capability. The 87% sole-source position means even human competitors are largely excluded from these programs. AI data center and satellite proliferation actually increase demand for AADX's space and launch hardware (solar arrays, propellant tanks, de-orbit systems). AI Opportunity (0/1): No AI-related revenue; the company manufactures physical aerospace and defense hardware with IP-enabled processes, not software or data products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Applied Aerospace &amp; Defense Q2 2026 Earnings Release — Record revenue $167.3M (+47.4% YoY), Adjusted EBITDA $36.4M, net loss $154M from IPO charges, backlog $1.13B, investors.applied-ad.com, August 2026</w:t>
      </w:r>
    </w:p>
    <w:p>
      <w:pPr>
        <w:spacing w:before="20" w:after="20"/>
        <w:ind w:left="170"/>
      </w:pPr>
      <w:r>
        <w:rPr>
          <w:rFonts w:ascii="Calibri" w:hAnsi="Calibri"/>
          <w:b/>
          <w:color w:val="4A6B25"/>
          <w:sz w:val="15"/>
        </w:rPr>
        <w:t xml:space="preserve">2. </w:t>
      </w:r>
      <w:r>
        <w:rPr>
          <w:rFonts w:ascii="Calibri" w:hAnsi="Calibri"/>
          <w:b w:val="0"/>
          <w:color w:val="3A4A28"/>
          <w:sz w:val="17"/>
        </w:rPr>
        <w:t>AADX Q2 2026 Earnings Call Highlights — Space and Launch +58.5%, Defense Aviation +4.8%, C5ISR $49.6M, pro forma growth 21.3%, 87% sole-source contracts, Nasdaq.com, August 2026</w:t>
      </w:r>
    </w:p>
    <w:p>
      <w:pPr>
        <w:spacing w:before="20" w:after="20"/>
        <w:ind w:left="170"/>
      </w:pPr>
      <w:r>
        <w:rPr>
          <w:rFonts w:ascii="Calibri" w:hAnsi="Calibri"/>
          <w:b/>
          <w:color w:val="4A6B25"/>
          <w:sz w:val="15"/>
        </w:rPr>
        <w:t xml:space="preserve">3. </w:t>
      </w:r>
      <w:r>
        <w:rPr>
          <w:rFonts w:ascii="Calibri" w:hAnsi="Calibri"/>
          <w:b w:val="0"/>
          <w:color w:val="3A4A28"/>
          <w:sz w:val="17"/>
        </w:rPr>
        <w:t>Applied Aerospace &amp; Defense Corporate Profile — CEO Trip Ferguson, IPO June 2026 at $20/share, Huntsville AL headquarters, 1,542 employees, applied-ad.com</w:t>
      </w:r>
    </w:p>
    <w:p>
      <w:pPr>
        <w:spacing w:before="20" w:after="20"/>
        <w:ind w:left="170"/>
      </w:pPr>
      <w:r>
        <w:rPr>
          <w:rFonts w:ascii="Calibri" w:hAnsi="Calibri"/>
          <w:b/>
          <w:color w:val="4A6B25"/>
          <w:sz w:val="15"/>
        </w:rPr>
        <w:t xml:space="preserve">4. </w:t>
      </w:r>
      <w:r>
        <w:rPr>
          <w:rFonts w:ascii="Calibri" w:hAnsi="Calibri"/>
          <w:b w:val="0"/>
          <w:color w:val="3A4A28"/>
          <w:sz w:val="17"/>
        </w:rPr>
        <w:t>Chris Rogers Named President and Chief Strategy Officer — Leadership expansion, culture references, Elizabeth Robertson as EVP Business Development, Huntsville Business Journal,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AADX key statistics and financial data, analyst consensus Buy with $25.14 target,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