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AAOI</w:t>
      </w:r>
      <w:r>
        <w:rPr>
          <w:rFonts w:ascii="Calibri" w:hAnsi="Calibri"/>
          <w:b/>
          <w:color w:val="1A2010"/>
          <w:sz w:val="40"/>
        </w:rPr>
        <w:t xml:space="preserve">  Applied Optoelectronics, Inc.</w:t>
      </w:r>
    </w:p>
    <w:p>
      <w:pPr>
        <w:spacing w:after="120"/>
      </w:pPr>
      <w:r>
        <w:rPr>
          <w:rFonts w:ascii="Calibri" w:hAnsi="Calibri"/>
          <w:b/>
          <w:color w:val="6E8450"/>
          <w:sz w:val="18"/>
        </w:rPr>
        <w:t>GROWTH SLEEVE · 2026-10-13 · Inspire: 29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NASDAQ · United States</w:t>
      </w:r>
    </w:p>
    <w:p>
      <w:pPr>
        <w:spacing w:after="80"/>
      </w:pPr>
      <w:r>
        <w:rPr>
          <w:rFonts w:ascii="Calibri" w:hAnsi="Calibri"/>
          <w:b w:val="0"/>
          <w:color w:val="3A4A28"/>
          <w:sz w:val="20"/>
        </w:rPr>
        <w:t>Applied Optoelectronics designs, manufactures, and sells fiber-optic networking products including optical transceivers, lasers, and laser components for data center, CATV, and telecom markets. The company is vertically integrated, fabricating its own indium phosphide laser chips in Sugar Land, TX and Taipei, Taiwan. Q2 2026 delivered record revenue of $191.9M (+86% YoY) with 800G revenue of $12.8M (more than 10x YoY) and record CATV revenue of $80.6M. Q3 2026 guidance of $255-290M implies 130% YoY growth. Full-year 2026 revenue expected at approximately $1.1B. CEO Dr. Thompson Lin has led the company for nearly 30 years. Market cap ~$8.5B.</w:t>
      </w:r>
    </w:p>
    <w:p>
      <w:r>
        <w:rPr>
          <w:rFonts w:ascii="Calibri" w:hAnsi="Calibri"/>
          <w:b/>
          <w:color w:val="6E8450"/>
          <w:sz w:val="18"/>
        </w:rPr>
        <w:t>4,691 Employees · https://www.ao-inc.com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AOI executed a transformative pivot from near-bankruptcy ($2/share in 2023) to an $8.5B AI infrastructure company by leveraging vertically integrated indium phosphide laser manufacturing for the AI data center boom [1][2]. Revenue surged from $218M (2023) to projected $1.1B (2026), a 5x increase in three years. 800G revenue more than 10x'd YoY in Q2 2026 to $12.8M, with 1.6T transceivers ramping and a 6.4T on-board optics demo at OFC in March 2026. The Linear Pluggable Optics (LPO) technology, championed by Microsoft, removes power-hungry DSPs from optical modules — a genuine product innovation [2]. AI Deployment (1/2): AOI's products ARE AI infrastructure — 800G and 1.6T optical transceivers are the physical interconnects enabling GPU-to-GPU communication in AI training clusters, shipping at scale to hyperscalers including Microsoft [2]. The LPO technology reduces power consumption in AI data centers. However, the company does not deploy AI in its own operations. Market Share (1/2): AOI is gaining significant share in the 800G/1.6T optical transceiver market, with vertically integrated manufacturing and U.S. onshoring proving decisive competitive advantages as Western hyperscalers avoid China-centric supply chains [2]. However, Coherent, Lumentum, and InnoLight remain larger competitors. Product Pipeline (2/2): Q3 2026 guidance of $255-290M with 800G growing nearly 5x provides exceptional near-term visibility. Production capacity targeting 500,000+ 800G/1.6T units per month by year-end. 1.6T shipments ramping in H2 2026. New 210,000 sq ft Texas facility expanding domestic capacity [1][2]. R&amp;D Intensity (1/1): Vertically integrated laser fabrication (VCSEL, DFB, EML, InP) with heavy investment in 800G, 1.6T, and 6.4T development significantly exceeds communication equipment peers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AOI's purpose of advancing optical technology for communications is generic and interchangeable with any optoelectronics company. The mission does not articulate a deeper purpose beyond commercial applications of fiber-optic networking [2]. Community Impact (1/2): The $20.9M Texas Semiconductor Innovation Fund grant creating 500+ jobs in Sugar Land demonstrates local economic contribution and alignment with U.S. onshoring priorities [2]. The company's decision to maintain domestic manufacturing when competitors moved offshore contributed to U.S. industrial resilience. Employee Retention (0/2): Founder-CEO Dr. Thompson Lin's ~30-year tenure and management team averaging 13+ years demonstrate exceptional leadership stability, but no specific workforce retention or tenure data beyond the executive team is available. Insider Buying (0/2): Insiders executed 39 sales with 0 purchases in the prior 6 months, totaling $99M in net selling over the 12 months prior to August 2026 — CEO Dr. Lin sold $19.9M and CFO Murry sold $15.2M [3]. While Dr. Lin personally purchased shares at $2-$15 in 2023-2024, the massive net selling at higher prices signals changed posture.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significantly improved valuation metrics after the stock's 32.6% decline from $149 to $101. D/E of 18.0% is exceptionally conservative, well below the 70% target (score 1.0), with $500M cash against $300M debt [4]. Forward P/E of 21.88 has compressed dramatically from 126.58x in August as analysts raised forward EPS estimates to $4.60 reflecting the $1.1B revenue trajectory — now just slightly above the 20 target (score 0.95) [1][4]. PEG ratio of 0.78 is well below the 1.0 target (score 1.0, 2x weight), indicating robust growth expectations that more than justify the valuation. Revenue growth YoY of 86.4% massively exceeds the 10% target (score 1.0), and estimated 5yr CAGR of ~19% from $212M (2021) toward $1.1B (2026) scores perfectly (2x weight) [1]. Primary drags: ROE of -5.45% remains negative (score 0.0, 2x weight) and profit margin of -9.57% reflects ongoing GAAP losses (score 0.0), though the company achieved non-GAAP profitability ($0.06 EPS) in Q2. Liquidity is exceptional at ~$988M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AOI under Dr. Thompson Lin demonstrates extraordinary resilience — surviving five consecutive years of losses, a stock price collapse from $100+ to $2, and emerging as an AI infrastructure winner through patient investment in vertically integrated manufacturing. This endurance through near-death is quintessential infinite game behavior, earning full marks on Courage to Lead. However, the company's generic commercial purpose, massive insider selling at higher prices, and competitive language focused on capacity and market share suggest finite-game tendencies alongside the remarkable resilience. The company is playing to capitalize on the AI moment rather than playing to advance a transcendent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AOI's purpose — advancing optical connectivity through vertically integrated manufacturing — is functional rather than aspirational [2]. The company exists to make optical transceivers, not to advance a vision of a better future. Dr. Lin's 30-year commitment shows exceptional personal dedication, but the organization has not articulated why its work matters beyond commercial success. 'Connecting AI data centers' is important infrastructure work but does not describe a future state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management team's 13+ year average tenure and Dr. Lin's 30-year CEO tenure through extreme business cycles ($100+ to $2 to $149 back to $101) demonstrate exceptional organizational stability and loyalty [2]. The company retained critical laser fabrication engineers through years of losses, preserving institutional knowledge that enabled the AI pivot. Hiring of logistics and manufacturing veterans shows organizational growth. However, limited external employee sentiment data is available for the 4,691-employee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AOI frames competition as a learning opportunity. Management commentary focuses on capacity expansion, production ramps, 800G unit volume, and winning customer orders rather than acknowledging strengths of Coherent, Lumentum, or InnoLight [1]. The competitive posture is about outpacing rivals in 800G/1.6T volume — a finite-game framing of market share capture rather than self-improvement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AOI fundamentally reinvented itself — pivoting from a CATV fiber-optic component maker dependent on Amazon's 100G orders to an AI data center transceiver company where 800G revenue grew 10x+ YoY in Q2 2026 [1][2]. The transition from VCSEL to DFB and EML to InP laser technologies represented deep technical pivots. The company survived trading at $2 and rebuilt into an $8.5B company through patient technology investment, the bet on InP vertical integration, and the onshoring strategy that won Western hyperscaler trust. The LPO technology adoption and 6.4T on-board optics development show continued platform evolution.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Dr. Lin maintained vertically integrated laser manufacturing through five consecutive years of losses when the market pressured the company to cut costs, sell assets, or liquidate [2]. He personally purchased 101,209 shares with his own capital when the stock was between $2-$15, betting his personal wealth on the company's survival. Maintaining InP laser chip fabrication capability during the lean years is exactly what enabled the current AI-driven resurgence — a multi-year bet that paid off because leadership refused to abandon long-term capability for short-term cost savings. The heavy capex investment ($887M FCF burn) to build production capacity ahead of demand while still GAAP unprofitable demonstrates continued conviction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AOI at $100.68 with an $8.5B market cap is a vertically integrated AI infrastructure play at the epicenter of the optical interconnect buildout — its 800G and 1.6T optical transceivers are essential components connecting GPUs in hyperscale AI data centers [1][2]. Q2 2026 revenue surged 86% to $191.9M with 800G revenue exceeding $12.8M (10x+ YoY), and the company returned to non-GAAP profitability ($0.06 EPS). Q3 guidance of $255-290M implies 130% YoY growth, and full-year 2026 revenue is tracking toward $1.1B — more than doubling 2025's $456M [1]. After the 32.6% pullback from $149, valuation has become significantly more attractive: Forward P/E compressed to 21.88 with PEG of 0.78, suggesting the growth rate more than justifies the current price [4]. D/E of 18% with $500M cash provides balance sheet flexibility, and the vertically integrated InP laser manufacturing plus U.S. onshoring strategy create defensible competitive advantages as Western hyperscalers prioritize non-China supply chains [2]. Inspire Impact Score of 29 (ALIGNED) supports faith-based allocation.</w:t>
      </w:r>
    </w:p>
    <w:p>
      <w:pPr>
        <w:spacing w:after="120"/>
      </w:pPr>
      <w:r>
        <w:rPr>
          <w:rFonts w:ascii="Calibri" w:hAnsi="Calibri"/>
          <w:b w:val="0"/>
          <w:color w:val="3A4A28"/>
          <w:sz w:val="20"/>
        </w:rPr>
        <w:t>The bear case centers on GAAP profitability, customer concentration, and capital intensity. Despite non-GAAP profitability, trailing GAAP profit margin remains -9.57% and ROE is -5.45%, with free cash flow deeply negative at approximately -$887M on a trailing basis due to massive capacity buildout spending [4]. The 2017-2022 collapse from $100+ to $2 was caused by losing a single customer (Amazon) — the same structural concentration risk exists today with Microsoft and a small number of hyperscalers representing the majority of data center revenue [2]. Competition from Coherent, Lumentum, and Chinese manufacturers like InnoLight could pressure 800G/1.6T pricing as industry supply catches demand. Prior insider selling of $99M (CEO $19.9M, CFO $15.2M) at prices above $100 raises questions about leadership's assessment of near-term upside versus the long-term story [3]. Shares outstanding surged approximately 50% YoY from the $382M equity raise, creating dilution that offsets per-share economics. The beta of 3.84 means market-wide risk-off events would amplify downside disproportionately, and the Q3 guidance of $255-290M requires the new Texas facility to ramp on schedule — any production delays would create a significant earnings miss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800G and 1.6T revenue acceleration with Q3 2026 guidance of $255-290M representing 130% YoY growth, production capacity targeting 500,000+ units/month by year-end, and full-year $1.1B revenue implying continued tripling of the business over two years [1][2]</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inflection expected as the $1.1B revenue run rate achieves manufacturing scale and mix shifts toward higher-margin 800G/1.6T products, with Forward P/E of 21.88 and PEG of 0.78 now offering reasonable valuation after the 32.6% pullback [1][4]</w:t>
      </w:r>
    </w:p>
    <w:p>
      <w:pPr>
        <w:spacing w:before="40" w:after="40"/>
        <w:ind w:left="283"/>
      </w:pPr>
      <w:r>
        <w:rPr>
          <w:rFonts w:ascii="Calibri" w:hAnsi="Calibri"/>
          <w:b/>
          <w:color w:val="4A6B25"/>
          <w:sz w:val="20"/>
        </w:rPr>
        <w:t xml:space="preserve">3. </w:t>
      </w:r>
      <w:r>
        <w:rPr>
          <w:rFonts w:ascii="Calibri" w:hAnsi="Calibri"/>
          <w:b w:val="0"/>
          <w:color w:val="3A4A28"/>
          <w:sz w:val="20"/>
        </w:rPr>
        <w:t>U.S. onshoring advantage deepening — new 210,000 sq ft Texas facility funded by $20.9M state grant, plus vertically integrated InP laser fabrication, creating defensible supply chain that Western hyperscalers increasingly prefer over China-centric alternatives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Customer concentration replicating the structural dependency that caused the 2017-2022 collapse — Microsoft and a small number of hyperscalers represent the majority of data center revenue, and loss of a single major customer could devastate the revenue base [2]</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remains negative with -9.57% margins, -5.45% ROE, and deeply negative FCF (~-$887M trailing) driven by massive capacity investment — any slowdown in AI infrastructure spending could leave the company with overcapacity and unsustainable cash burn [4]</w:t>
      </w:r>
    </w:p>
    <w:p>
      <w:pPr>
        <w:spacing w:before="40" w:after="40"/>
        <w:ind w:left="283"/>
      </w:pPr>
      <w:r>
        <w:rPr>
          <w:rFonts w:ascii="Calibri" w:hAnsi="Calibri"/>
          <w:b/>
          <w:color w:val="4A6B25"/>
          <w:sz w:val="20"/>
        </w:rPr>
        <w:t xml:space="preserve">3. </w:t>
      </w:r>
      <w:r>
        <w:rPr>
          <w:rFonts w:ascii="Calibri" w:hAnsi="Calibri"/>
          <w:b w:val="0"/>
          <w:color w:val="3A4A28"/>
          <w:sz w:val="20"/>
        </w:rPr>
        <w:t>Beta of 3.84 and 50% share dilution from the $382M equity raise create extreme volatility risk — the stock dropped 32.6% from $149 to $101 in two months, and prior insider selling of $99M at higher prices suggests leadership expected near-term multiple compression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AOI is AI infrastructure — its 800G and 1.6T optical transceivers are the physical interconnects enabling GPU-to-GPU communication in AI training clusters [1][2]. AI cannot disrupt optical networking hardware; it increases demand exponentially. Every AI data center expansion requires more high-speed transceivers. Q2 2026 800G revenue exceeded $12.8M (10x+ YoY), and Q3 guidance of $255-290M is driven primarily by AI demand [1]. The vertically integrated InP laser chip manufacturing in the U.S. provides supply chain defensibility that fabless competitors lack, and the onshoring strategy has proven competitively advantageous as Western hyperscalers avoid China-centric supply chains [2]. The 6.4T on-board optics demo at OFC confirms AOI is investing in next-generation interconnect architecture that will be essential for scaled AI clusters. AI Opportunity (1/1): AOI generates direct, quantifiable AI infrastructure revenue. Data center segment revenue is driven substantially by 800G and 1.6T transceivers sold specifically for AI workloads, with Microsoft as a key customer and full-year 2026 guidance of ~$1.1B driven primarily by the AI data center buildout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Applied Optoelectronics Q2 2026 Earnings Release — Record Revenue $191.9M (+86% YoY), Non-GAAP EPS $0.06, 800G Revenue $12.8M (10x+ YoY), Q3 Guidance $255-290M, FY2026 ~$1.1B Target, August 2026</w:t>
      </w:r>
    </w:p>
    <w:p>
      <w:pPr>
        <w:spacing w:before="20" w:after="20"/>
        <w:ind w:left="170"/>
      </w:pPr>
      <w:r>
        <w:rPr>
          <w:rFonts w:ascii="Calibri" w:hAnsi="Calibri"/>
          <w:b/>
          <w:color w:val="4A6B25"/>
          <w:sz w:val="15"/>
        </w:rPr>
        <w:t xml:space="preserve">2. </w:t>
      </w:r>
      <w:r>
        <w:rPr>
          <w:rFonts w:ascii="Calibri" w:hAnsi="Calibri"/>
          <w:b w:val="0"/>
          <w:color w:val="3A4A28"/>
          <w:sz w:val="17"/>
        </w:rPr>
        <w:t>Applied Optoelectronics AI Infrastructure Strategy — CEO Dr. Thompson Lin (~30-Year Tenure), InP Laser Vertical Integration, U.S. Onshoring, Microsoft Partnership, LPO Technology, OFC 6.4T Demo — FinancialContent,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Applied Optoelectronics Insider Activity — 39 Sales, 0 Purchases in Prior 6 Months, $99M Net Selling (CEO $19.9M, CFO $15.2M) — SecForm4/Yahoo Finance,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AAOI Key Statistics: Stock Price $100.68, Forward P/E 21.88, PEG 0.78, ROE -5.45%, D/E 18.0%, Profit Margin -9.57%, Revenue Growth 86.4%, Avg Volume 9,812,398, Beta 3.84,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