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ABBV</w:t>
      </w:r>
      <w:r>
        <w:rPr>
          <w:rFonts w:ascii="Calibri" w:hAnsi="Calibri"/>
          <w:b/>
          <w:color w:val="1A2010"/>
          <w:sz w:val="40"/>
        </w:rPr>
        <w:t xml:space="preserve">  AbbVie Inc.</w:t>
      </w:r>
    </w:p>
    <w:p>
      <w:pPr>
        <w:spacing w:after="120"/>
      </w:pPr>
      <w:r>
        <w:rPr>
          <w:rFonts w:ascii="Calibri" w:hAnsi="Calibri"/>
          <w:b/>
          <w:color w:val="6E8450"/>
          <w:sz w:val="18"/>
        </w:rPr>
        <w:t>DIVIDEND SLEEVE · 2026-10-13 · Inspire: -88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General · NYSE · United States</w:t>
      </w:r>
    </w:p>
    <w:p>
      <w:pPr>
        <w:spacing w:after="80"/>
      </w:pPr>
      <w:r>
        <w:rPr>
          <w:rFonts w:ascii="Calibri" w:hAnsi="Calibri"/>
          <w:b w:val="0"/>
          <w:color w:val="3A4A28"/>
          <w:sz w:val="20"/>
        </w:rPr>
        <w:t>AbbVie is a research-based biopharmaceutical company that discovers, develops, manufactures, and sells medicines globally. The company's portfolio spans immunology (Skyrizi, Rinvoq), oncology (Imbruvica, Venclexta, Elahere), neuroscience (Vraylar, Ubrelvy, Qulipta), medical aesthetics (Botox, Juvederm), and eye care (Ozurdex, Lumigan). TTM revenue of $64.4B with Q2 2026 net revenue of $17B (+10.2% YoY) and adjusted EPS of $3.65. Founded via spinoff from Abbott Laboratories in 2013 and headquartered in North Chicago, Illinois.</w:t>
      </w:r>
    </w:p>
    <w:p>
      <w:r>
        <w:rPr>
          <w:rFonts w:ascii="Calibri" w:hAnsi="Calibri"/>
          <w:b/>
          <w:color w:val="6E8450"/>
          <w:sz w:val="18"/>
        </w:rPr>
        <w:t>57,000 Employees · https://www.abbvie.com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AbbVie executed one of pharma's most consequential portfolio transitions, successfully replacing $21B peak Humira revenue lost to biosimilar erosion with Skyrizi and Rinvoq, which reached combined TTM revenue exceeding $18B with Skyrizi alone hitting $4.5B in Q1 2026 (+29% operationally) [1][2]. The $63B Allergan acquisition in 2020 diversified AbbVie into medical aesthetics and neuroscience, adding Botox and Vraylar as multi-billion dollar franchises. AI Deployment (1/2): AbbVie is actively building AI capabilities, hiring for Director-level AI Business Strategy and AI Transformation roles across drug discovery, clinical operations, and HR functions [3]. However, no specific quantified AI-driven cost savings or AI-powered products have been publicly reported. Market Share (2/2): Skyrizi is the #1 prescribed biologic in psoriasis and rapidly gaining share in Crohn's disease and ulcerative colitis; Rinvoq is gaining share across rheumatoid arthritis, atopic dermatitis, and IBD; Botox maintains dominant share in therapeutic and cosmetic injectables [1][2]. Pipeline (1/2): Strong late-stage pipeline including the Apogee Therapeutics acquisition (expected Q3 2026 close) for next-gen dermatology biologics, plus emraclidine (schizophrenia) and multiple immunology line extensions, though timelines on transformative new mechanisms are less specific than peers [2]. R&amp;D Intensity (1/1): AbbVie invests approximately $8.5B annually in R&amp;D (~14% of revenue), well above the large-cap pharma industry average of 10-12%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AbbVie's stated purpose is to discover and deliver innovative medicines and solutions that solve serious health issues today and address the medical challenges of tomorrow. Clear and specific to healthcare but not distinctively inspiring compared to pharma peers — it reads as a competent articulation of what every pharmaceutical company aspires to do. Community Impact (2/2): The AbbVie Foundation has donated over $1B since inception, funding healthcare access programs in underserved communities, STEM education initiatives, and disaster relief globally [4]. AbbVie's patient assistance programs provided medications worth billions to qualifying patients, and the company earned Fortune Best Companies to Work For recognition in Europe through its Ways We Work cultural accountability program [3]. Employee Retention (1/2): Fortune Best Company to Work For recognition in Europe suggests above-average culture. AbbVie holds leaders accountable for culture via structured Ways We Work assessments [3]. However, Glassdoor reviews note inconsistency in manager quality and disconnect between senior leadership communication and frontline experience. No specific voluntary turnover or average tenure data publicly available. Insider Buying (0/2): No evidence of meaningful net insider buying by CEO Rob Michael or senior executives in the last 12 months; public filing data shows routine compensation-related transactions rather than conviction-driven open-market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available metrics (D/E and ROE excluded due to negative book value from Allergan acquisition goodwill). Revenue Growth YoY of 10.2% meets the 10% target (score 1.0), driven by Skyrizi/Rinvoq offsetting Humira erosion [1]. Revenue Growth 5yr CAGR of approximately 2.8% (score 0.52) reflects the Humira cliff trough in 2023-2024 now reversing with immunology momentum. Forward P/E of 17.3 is below the 20 target (score 1.0), reflecting attractive valuation on $14+ adjusted EPS [2]. GAAP Profit Margin of 9.8% (score 0.49) is depressed by ~$10B annual amortization of Allergan acquisition intangibles — adjusted operating margin exceeds 35%. GAAP Payout Ratio of 190% (score 0.0) is similarly distorted by depressed GAAP EPS of $3.54; on adjusted EPS of $14+, the effective payout ratio is approximately 49%. Consecutive Years Paid of 52 (score 1.0, 2x weight) reflects AbbVie's Dividend Aristocrat heritage inherited from Abbott [1]. Consecutive Years Growth of 13 since spinoff (score 1.0). 5yr Dividend Growth CAGR of 6.8% (score 1.0, 2x weight) exceeds the 6% inflation-doubling target. Daily dollar volume of $1.36B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AbbVie demonstrates meaningful infinite game characteristics through its successful multi-year navigation of the Humira patent cliff — a $21B revenue replacement that required decade-long pipeline investment and courage to invest through the trough. The $63B Allergan acquisition in 2020 was a bold long-term bet that diversified the company beyond immunology, accepting near-term dilution and leverage for enduring portfolio breadth. However, AbbVie's purpose remains somewhat generic for pharma, and the company is young enough (2013 spinoff) that its cause hasn't been tested through the multi-decade consistency Sinek demands for a true Just Cause.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AbbVie's purpose of solving serious health issues is genuine and has shaped strategic decisions — the company invested billions in Skyrizi/Rinvoq development years before Humira's patent cliff hit, demonstrating commitment to long-term patient impact over short-term financial optimization [1][2]. However, as a 2013 spinoff, AbbVie hasn't had the multi-decade consistency to fully validate its cause through leadership transitions and crises at the level Sinek requires for a 3. The purpose, while sincere, doesn't yet rise to the level of being the company's competitive advantage.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AbbVie's Ways We Work cultural framework holds leaders accountable for team culture, and the company earned Fortune Best Company to Work For recognition in Europe [3]. The CEO transition from founder Rick Gonzalez to Rob Michael in 2024 was orderly and planned. However, Glassdoor reviews note inconsistency in manager quality and disconnect between senior leadership communication and frontline experience. The large-scale integration of Allergan's workforce created cultural friction that is still being resolved. Adequate trust but not the exceptional psychological safety Sinek describes.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AbbVie's competitive posture in immunology reflects learning from rivals rather than obsession with defeating them. Management has acknowledged Johnson &amp; Johnson's Tremfya and Eli Lilly's pipeline strengths, responding by investing in superior clinical data packages for Skyrizi and Rinvoq rather than attacking competitors directly [1]. AbbVie's entry into neuroscience and aesthetics via Allergan suggests recognition that peer strengths in areas like oncology prompted diversification into areas of relative advantage.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AbbVie evolved from a single-product company (Humira represented 60%+ of revenue at peak) to a diversified biopharma with four pillars: immunology, oncology, neuroscience, and aesthetics [1][2]. The Allergan acquisition and pipeline investments were significant strategic adaptations. However, these moves were incremental diversification within pharma rather than a transformative reinvention — AbbVie remained fundamentally in the same business of developing and selling drugs. The transitions were driven partly by the necessity of Humira's patent expiration rather than a proactive cause-driven pivot.</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AbbVie's leadership demonstrated exceptional courage through two defining decisions. First, investing $10B+ in Skyrizi and Rinvoq development during the mid-2010s while Humira was still generating $20B+ annually — a bet that these next-gen immunology drugs would replace the world's best-selling drug before biosimilar erosion hit [1][2]. Second, the $63B Allergan acquisition in 2020 during COVID uncertainty, accepting massive short-term debt and earnings dilution to diversify beyond immunology. Both bets have paid off, with Skyrizi/Rinvoq now exceeding $18B combined and Botox/Vraylar contributing billions, validating a pattern of choosing long-term capability over near-term comfort.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AbbVie at $281 with a $497B market cap has successfully navigated pharma's most challenging revenue transition, replacing $21B in peak Humira revenue with a diversified growth portfolio led by Skyrizi ($4.5B Q1 2026 revenue, +29% YoY) and Rinvoq, which together are on track to exceed $20B in 2026 [1][2]. Q2 2026 delivered $17B in net revenue (+10.2% YoY) with adjusted EPS of $3.65, beating consensus by $0.04, and management raised full-year 2026 guidance to $67.6B revenue and $13.87-$14.07 adjusted EPS [2]. At 17.3x forward earnings with a PEG of 0.56, AbbVie offers value-oriented exposure to pharma's strongest immunology franchise, supplemented by Botox dominance in aesthetics and Vraylar's rapid growth in neuroscience. The 2.46% dividend yield with 52 consecutive years of increases and 6.8% 5-year dividend growth CAGR provides reliable income compounding.</w:t>
      </w:r>
    </w:p>
    <w:p>
      <w:pPr>
        <w:spacing w:after="120"/>
      </w:pPr>
      <w:r>
        <w:rPr>
          <w:rFonts w:ascii="Calibri" w:hAnsi="Calibri"/>
          <w:b w:val="0"/>
          <w:color w:val="3A4A28"/>
          <w:sz w:val="20"/>
        </w:rPr>
        <w:t>The bear case centers on leverage and margin recovery uncertainty. AbbVie carries $70.9B in total debt from the Allergan acquisition, and while free cash flow of $16.9B covers the $12.3B annual dividend, the GAAP payout ratio exceeds 190% due to $10B+ annual intangible amortization depressing reported earnings [1]. The Apogee Therapeutics acquisition adds further dilution at a time when the balance sheet is still absorbing Allergan. Biosimilar Humira erosion is largely priced in, but the next patent cliff looms: Skyrizi faces potential biosimilar competition starting 2033-2035, meaning AbbVie must again refill 25%+ of its revenue within a decade. Profit margin of 9.8% on a GAAP basis (vs. 35%+ adjusted) creates optical risk that screens poorly to quantitative investors. Finally, AbbVie's immunology concentration — Skyrizi and Rinvoq represent 55%+ of growth — creates pipeline risk if late-stage assets in oncology or neuroscience fail to diversify the revenue base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Skyrizi and Rinvoq growth trajectory toward $20B+ combined 2026 revenue as label expansions in Crohn's disease, ulcerative colitis, and additional autoimmune indications drive market share gains against J&amp;J's Tremfya and Lilly's pipeline [1][2]</w:t>
      </w:r>
    </w:p>
    <w:p>
      <w:pPr>
        <w:spacing w:before="40" w:after="40"/>
        <w:ind w:left="283"/>
      </w:pPr>
      <w:r>
        <w:rPr>
          <w:rFonts w:ascii="Calibri" w:hAnsi="Calibri"/>
          <w:b/>
          <w:color w:val="4A6B25"/>
          <w:sz w:val="20"/>
        </w:rPr>
        <w:t xml:space="preserve">2. </w:t>
      </w:r>
      <w:r>
        <w:rPr>
          <w:rFonts w:ascii="Calibri" w:hAnsi="Calibri"/>
          <w:b w:val="0"/>
          <w:color w:val="3A4A28"/>
          <w:sz w:val="20"/>
        </w:rPr>
        <w:t>Apogee Therapeutics acquisition (expected Q3 2026 close) adds next-generation TL1A and OX40L biologics to AbbVie's dermatology/immunology pipeline, providing long-term growth optionality beyond current franchises [2]</w:t>
      </w:r>
    </w:p>
    <w:p>
      <w:pPr>
        <w:spacing w:before="40" w:after="40"/>
        <w:ind w:left="283"/>
      </w:pPr>
      <w:r>
        <w:rPr>
          <w:rFonts w:ascii="Calibri" w:hAnsi="Calibri"/>
          <w:b/>
          <w:color w:val="4A6B25"/>
          <w:sz w:val="20"/>
        </w:rPr>
        <w:t xml:space="preserve">3. </w:t>
      </w:r>
      <w:r>
        <w:rPr>
          <w:rFonts w:ascii="Calibri" w:hAnsi="Calibri"/>
          <w:b w:val="0"/>
          <w:color w:val="3A4A28"/>
          <w:sz w:val="20"/>
        </w:rPr>
        <w:t>Margin inflection as Allergan intangible amortization declines over the next 3-5 years, driving GAAP earnings convergence toward adjusted EPS of $14+ and potentially re-rating the stock from its current 17.3x forward multiple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Balance sheet leverage at $70.9B total debt constrains strategic flexibility, and the Apogee acquisition adds further indebtedness at a time when GAAP payout ratio already exceeds 190% — any pipeline setback could pressure the dividend growth trajectory [1][2]</w:t>
      </w:r>
    </w:p>
    <w:p>
      <w:pPr>
        <w:spacing w:before="40" w:after="40"/>
        <w:ind w:left="283"/>
      </w:pPr>
      <w:r>
        <w:rPr>
          <w:rFonts w:ascii="Calibri" w:hAnsi="Calibri"/>
          <w:b/>
          <w:color w:val="4A6B25"/>
          <w:sz w:val="20"/>
        </w:rPr>
        <w:t xml:space="preserve">2. </w:t>
      </w:r>
      <w:r>
        <w:rPr>
          <w:rFonts w:ascii="Calibri" w:hAnsi="Calibri"/>
          <w:b w:val="0"/>
          <w:color w:val="3A4A28"/>
          <w:sz w:val="20"/>
        </w:rPr>
        <w:t>Immunology concentration risk with Skyrizi and Rinvoq representing 55%+ of revenue growth — clinical or commercial setbacks in either franchise, or faster-than-expected biosimilar entry (Skyrizi LOE 2033-2035), would disproportionately impact the growth narrative [2]</w:t>
      </w:r>
    </w:p>
    <w:p>
      <w:pPr>
        <w:spacing w:before="40" w:after="40"/>
        <w:ind w:left="283"/>
      </w:pPr>
      <w:r>
        <w:rPr>
          <w:rFonts w:ascii="Calibri" w:hAnsi="Calibri"/>
          <w:b/>
          <w:color w:val="4A6B25"/>
          <w:sz w:val="20"/>
        </w:rPr>
        <w:t xml:space="preserve">3. </w:t>
      </w:r>
      <w:r>
        <w:rPr>
          <w:rFonts w:ascii="Calibri" w:hAnsi="Calibri"/>
          <w:b w:val="0"/>
          <w:color w:val="3A4A28"/>
          <w:sz w:val="20"/>
        </w:rPr>
        <w:t>GAAP margin opacity from $10B+ annual intangible amortization creates a persistent gap between reported and adjusted earnings that may deter quantitative screening and index-based investors, potentially capping valuation multiple expansion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AbbVie's core business — manufacturing and selling patent-protected biologic drugs — is structurally protected from AI disruption. Physical drug production, FDA regulatory navigation, and complex biologic manufacturing (living cell cultures for Skyrizi/Rinvoq) cannot be replaced by software [1][2]. Switching costs in immunology are extremely high once patients stabilize on a therapy. However, AI could accelerate competitor drug discovery timelines, potentially shortening AbbVie's first-mover advantages on novel mechanisms, and AI-driven diagnostics could shift treatment algorithms in ways that don't favor AbbVie's portfolio — keeping the company short of IMMUNE status. AI Opportunity (0/1): AbbVie is investing in AI for internal drug discovery and clinical trial optimization, hiring AI Transformation and AI Business Strategy leaders [3], but generates no quantifiable AI-related revenue. AI remains a tool for R&amp;D efficiency rather than a commercial revenue stream.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-88</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Abortifacients </w:t>
      </w:r>
      <w:r>
        <w:rPr>
          <w:rFonts w:ascii="Calibri" w:hAnsi="Calibri"/>
          <w:b w:val="0"/>
          <w:color w:val="9DAF88"/>
          <w:sz w:val="17"/>
        </w:rPr>
        <w:t xml:space="preserve">  ·  </w:t>
      </w:r>
      <w:r>
        <w:rPr>
          <w:rFonts w:ascii="Calibri" w:hAnsi="Calibri"/>
          <w:b/>
          <w:color w:val="DC2626"/>
          <w:sz w:val="17"/>
        </w:rPr>
        <w:t xml:space="preserve"> Embryonic Stem Cells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AbbVie Q1 2026 Earnings — $15B Revenue (+12% YoY), Skyrizi $4.5B (+29%), Beat Estimates by $300M — TIKR Blog, April 2026</w:t>
      </w:r>
    </w:p>
    <w:p>
      <w:pPr>
        <w:spacing w:before="20" w:after="20"/>
        <w:ind w:left="170"/>
      </w:pPr>
      <w:r>
        <w:rPr>
          <w:rFonts w:ascii="Calibri" w:hAnsi="Calibri"/>
          <w:b/>
          <w:color w:val="4A6B25"/>
          <w:sz w:val="15"/>
        </w:rPr>
        <w:t xml:space="preserve">2. </w:t>
      </w:r>
      <w:r>
        <w:rPr>
          <w:rFonts w:ascii="Calibri" w:hAnsi="Calibri"/>
          <w:b w:val="0"/>
          <w:color w:val="3A4A28"/>
          <w:sz w:val="17"/>
        </w:rPr>
        <w:t>AbbVie Q2 2026 Earnings Call — $17B Net Revenue (+10.2% YoY), Adjusted EPS $3.65, Full-Year Guidance Raised to $67.6B — Nasdaq, TIKR, July 2026</w:t>
      </w:r>
    </w:p>
    <w:p>
      <w:pPr>
        <w:spacing w:before="20" w:after="20"/>
        <w:ind w:left="170"/>
      </w:pPr>
      <w:r>
        <w:rPr>
          <w:rFonts w:ascii="Calibri" w:hAnsi="Calibri"/>
          <w:b/>
          <w:color w:val="4A6B25"/>
          <w:sz w:val="15"/>
        </w:rPr>
        <w:t xml:space="preserve">3. </w:t>
      </w:r>
      <w:r>
        <w:rPr>
          <w:rFonts w:ascii="Calibri" w:hAnsi="Calibri"/>
          <w:b w:val="0"/>
          <w:color w:val="3A4A28"/>
          <w:sz w:val="17"/>
        </w:rPr>
        <w:t>AbbVie Leadership and Culture — AI Transformation Hiring, Ways We Work Program, Fortune Best Companies Europe — Glassdoor, Built In, Fortune, Illinois JobLink, 2025-2026</w:t>
      </w:r>
    </w:p>
    <w:p>
      <w:pPr>
        <w:spacing w:before="20" w:after="20"/>
        <w:ind w:left="170"/>
      </w:pPr>
      <w:r>
        <w:rPr>
          <w:rFonts w:ascii="Calibri" w:hAnsi="Calibri"/>
          <w:b/>
          <w:color w:val="4A6B25"/>
          <w:sz w:val="15"/>
        </w:rPr>
        <w:t xml:space="preserve">4. </w:t>
      </w:r>
      <w:r>
        <w:rPr>
          <w:rFonts w:ascii="Calibri" w:hAnsi="Calibri"/>
          <w:b w:val="0"/>
          <w:color w:val="3A4A28"/>
          <w:sz w:val="17"/>
        </w:rPr>
        <w:t>AbbVie ESG Profile — Sustainalytics Risk Score 30, AbbVie Foundation $1B+ Donated, UN Global Compact Membership 2024 — Yahoo Finance, SEC Filings, AbbVie ESG Action Report</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