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ABT</w:t>
      </w:r>
      <w:r>
        <w:rPr>
          <w:rFonts w:ascii="Calibri" w:hAnsi="Calibri"/>
          <w:b/>
          <w:color w:val="1A2010"/>
          <w:sz w:val="40"/>
        </w:rPr>
        <w:t xml:space="preserve">  Abbott Laboratories</w:t>
      </w:r>
    </w:p>
    <w:p>
      <w:pPr>
        <w:spacing w:after="120"/>
      </w:pPr>
      <w:r>
        <w:rPr>
          <w:rFonts w:ascii="Calibri" w:hAnsi="Calibri"/>
          <w:b/>
          <w:color w:val="6E8450"/>
          <w:sz w:val="18"/>
        </w:rPr>
        <w:t>DIVIDEND SLEEVE · 2026-08-27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Abbott Laboratories is a global healthcare company operating across four segments: Medical Devices (FreeStyle Libre CGM, cardiac rhythm management, structural heart, neuromodulation), Diagnostics (core lab, point-of-care, molecular), Nutritionals (Ensure, Similac, Pedialyte), and Established Pharmaceuticals. CEO Robert Ford has led since March 2020 and became Chairman in December 2021, executing a transformative acquisition strategy highlighted by the $16B Exact Sciences purchase expected to inject $3B in cancer diagnostics revenue by 2026. Abbott reported $46.6B in TTM revenue with 8% organic growth and updated FY2026 adjusted EPS guidance of $5.45-$5.60 (+10% at midpoint). The company has increased its dividend for 54 consecutive years, a Dividend King paying continuously since 1924.</w:t>
      </w:r>
    </w:p>
    <w:p>
      <w:r>
        <w:rPr>
          <w:rFonts w:ascii="Calibri" w:hAnsi="Calibri"/>
          <w:b/>
          <w:color w:val="6E8450"/>
          <w:sz w:val="18"/>
        </w:rPr>
        <w:t>114,000 Employees · https://www.abbott.com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Abbott has executed multiple transformative launches and acquisitions in the past 5 years. FreeStyle Libre has become the dominant continuous glucose monitoring platform, redefining diabetes management globally [1]. The $16B acquisition of Exact Sciences brings cancer diagnostics (Cologuard) into Abbott's portfolio, creating a $3B revenue stream in a high-growth category. Abbott rolls out multiple new medical technologies per quarter, including next-generation catheter technologies, implantable devices, and wearable monitoring systems [2]. AI Deployment (1/2): Abbott is integrating AI into diagnostics and FreeStyle Libre data analytics, using machine learning for health insights and early disease detection. However, no specific AI-driven revenue or quantified cost savings have been publicly reported [2]. Market Share (1/2): FreeStyle Libre holds significant CGM market share globally, competing with Dexcom as the market leader in Europe and a strong challenger in the US. Abbott's core laboratory diagnostics business is a top-3 global player alongside Roche and Siemens Healthineers [1]. Product Pipeline (2/2): Next-generation FreeStyle Libre iterations, Exact Sciences integration expanding cancer screening capabilities, new catheter technologies, and wearable medical device platforms provide strong, named pipeline visibility with clear revenue paths [2]. R&amp;D Intensity (1/1): Abbott invests significantly in medical device and diagnostics R&amp;D, supporting continuous product innovation across all four business segments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Abbott's purpose -- 'Life. To the Full.' -- is specific, thoughtful, and distinctively connected to improving global health outcomes. It differentiates from peers and has guided strategic decisions for over 135 years, including the AbbVie spin-off to focus on patient-facing healthcare and the Exact Sciences acquisition to expand into cancer early detection [2]. CEO Ford articulates the mission with genuine conviction, describing healthcare technology as 'literally saving and extending millions of lives.' However, the NEC baby formula litigation creates tension between the stated mission of improving lives and the allegation that Abbott's Similac contributed to infant illness [3]. Community Impact (2/2): Abbott has significant, distinctive global health programs including the Abbott Fund supporting healthcare access in developing countries, disaster relief medical supplies, and partnerships expanding diagnostics in resource-limited settings. The company's $100M+ annual community investment and programs reaching underserved populations demonstrate impact aligned with the healthcare mission [2]. Employee Retention (1/2): CEO Ford joined Abbott in 1996 (30-year tenure) and rose through multiple divisions before becoming CEO, suggesting a culture that develops and retains leaders from within. Multiple senior executives have long tenures [2]. However, no specific employee turnover rates or average tenure data was identified.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Abbott demonstrates a strong balance sheet with D/E of 63% below the 70% target. Forward P/E of 19.23 is below the 20x target, reflecting reasonable valuation for a healthcare compounder [4]. Revenue growth YoY of 8.06% approaches the 10% target, driven by medical devices and the Exact Sciences acquisition [1]. The primary drags are: ROE of 10.58% below the 15% target (depressed by NEC litigation charges and goodwill from acquisitions), profit margin of 11.6% well below 20% (GAAP margin compressed by the $70M NEC jury verdict and broader litigation reserves vs. 32.4% in the prior year), and payout ratio of 81.54% reflecting the GAAP earnings depression [4]. On an adjusted basis, the payout ratio is approximately 46% ($2.52 dividend / $5.50 adjusted EPS). The exceptional dividend record (54 consecutive years of growth, continuous payments since 1924, ~7% 5-year dividend growth CAGR) provides maximum scores on the 4x-weighted dividend history metrics. Liquidity is excellent at ~$870M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Abbott is a strong infinite game player with a genuine Just Cause validated by 135+ years of consistent healthcare purpose, transformative existential flexibility (the AbbVie spin-off fundamentally redefined the company), and a leadership culture that develops executives over decades-long careers. The 54-year dividend growth streak demonstrates financial discipline aligned with long-term thinking. However, the company lacks the courageous, costly leadership decisions Sinek looks for beyond strategic acquisitions, and the NEC baby formula litigation creates tension between the stated mission and corporate behavior.</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Abbott's purpose -- 'Life. To the Full.' -- has been validated by 135+ years of consistent execution across multiple healthcare eras, leadership transitions, and industry disruptions [2]. The 2013 AbbVie spin-off was driven by the cause -- Abbott chose to focus on patient-facing healthcare (devices, diagnostics, nutrition) rather than the more profitable pharmaceutical business, sacrificing near-term revenue concentration for long-term mission alignment. The Exact Sciences acquisition extends this cause into cancer early detection. CEO Ford joined in 1996 and rose through multiple divisions, embodying the institutional continuity of purpose. Sinek would cite Abbott's dividend record (408 consecutive quarterly payments since 1924) as evidence that the cause endures beyond any individual leader.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Abbott's leadership model promotes from within -- CEO Ford's 30-year internal tenure is representative of a culture that develops long-term executives [2]. The company's 114,000 employees operate across a globally distributed organization with stable leadership and consistent strategic direction. However, no specific data on voluntary turnover, employee engagement scores, or cultural practices that demonstrate exceptional psychological safety was identified. The NEC litigation context may create internal stress in the nutritional products division.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Abbott's competitive posture is oriented around product leadership and portfolio breadth rather than explicitly acknowledging competitors' strengths. The Exact Sciences acquisition was framed as expanding capabilities rather than learning from a rival. No evidence of management commentary referencing worthy rivals or competitive self-improvement was identified [1]. Abbott competes with Dexcom, Roche, Siemens Healthineers, and Medtronic but frames competition in market share terms.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2013 AbbVie spin-off is a textbook example of Sinek's existential flexibility -- Abbott voluntarily separated its most profitable business (pharmaceuticals, including Humira -- the world's best-selling drug) to focus the company on patient-facing healthcare [1]. This was not a desperate move but a strategic reinvention driven by the Just Cause of directly improving health outcomes. The $16B Exact Sciences acquisition represents continued willingness to make transformative bets that reshape the company's capabilities. These decisions demonstrate the willingness to abandon what's working in service of a longer-term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$16B Exact Sciences acquisition represents a significant long-term bet on cancer diagnostics that reshapes Abbott's revenue profile and capability set [2]. The 54 consecutive years of dividend increases through recessions, pandemics, and industry upheavals shows consistent long-term financial discipline. However, no evidence of Abbott making costly decisions that sacrificed near-term earnings for principled reasons (walking away from profitable but misaligned businesses, investing through downturns at the expense of quarterly results) was identified beyond the 2013 AbbVie spin-off, which predates the current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Abbott at 19.2x forward earnings offers a diversified healthcare compounder with 54 consecutive years of dividend growth and a transformative acquisition pipeline. The $16B Exact Sciences acquisition adds $3B in high-growth cancer diagnostics revenue, and FreeStyle Libre continues gaining global CGM share with next-gen iterations in the pipeline [1]. Adjusted EPS guidance of $5.45-$5.60 (+10% at midpoint) reflects sustained organic growth of 6.5-7.5% across medical devices, diagnostics, and nutritionals. The D/E of 63%, forward P/E below 20x, and 54-year dividend growth streak make ABT a cornerstone Dividend King holding with a pathway to accelerating growth through the Exact Sciences integration [4]. AI immunity in physical medical devices, diagnostics hardware, and consumer nutrition provides a defensive moat as AI disruption reshapes other sectors.</w:t>
      </w:r>
    </w:p>
    <w:p>
      <w:pPr>
        <w:spacing w:after="120"/>
      </w:pPr>
      <w:r>
        <w:rPr>
          <w:rFonts w:ascii="Calibri" w:hAnsi="Calibri"/>
          <w:b w:val="0"/>
          <w:color w:val="3A4A28"/>
          <w:sz w:val="20"/>
        </w:rPr>
        <w:t>The bear case centers on NEC litigation risk, margin compression, and acquisition integration execution. A Cook County jury awarded $70M to four families in April 2026 in NEC baby formula lawsuits against Abbott's Similac, with 810 cases pending in federal court and a prior $495M Missouri state court verdict [3]. The NEC litigation has depressed GAAP profit margins from 32.4% to 11.6% and inflated the payout ratio to 81.54% and trailing P/E to 37.7x, creating a divergence between GAAP and adjusted metrics that may persist for years. The $16B Exact Sciences acquisition carries integration risk and dilution. Revenue growth 5-year CAGR of only ~3% reflects the COVID testing windfall and subsequent decline that masks underlying organic growth of 6-7%. ROE of 10.58% is below the 15% target, partly due to acquisition goodwill inflating the equity base. The Inspire Impact Score of -65 (MISALIGNED) due to In Vitro Fertilization and LGBT Activism may limit faith-based allocation despite the company's strong healthcare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Exact Sciences integration ($16B acquisition) expected to add ~$3B in cancer diagnostics revenue, expanding Abbott's position in the high-growth early detection market with Cologuard and multi-cancer screening capabilities [2]</w:t>
      </w:r>
    </w:p>
    <w:p>
      <w:pPr>
        <w:spacing w:before="40" w:after="40"/>
        <w:ind w:left="283"/>
      </w:pPr>
      <w:r>
        <w:rPr>
          <w:rFonts w:ascii="Calibri" w:hAnsi="Calibri"/>
          <w:b/>
          <w:color w:val="4A6B25"/>
          <w:sz w:val="20"/>
        </w:rPr>
        <w:t xml:space="preserve">2. </w:t>
      </w:r>
      <w:r>
        <w:rPr>
          <w:rFonts w:ascii="Calibri" w:hAnsi="Calibri"/>
          <w:b w:val="0"/>
          <w:color w:val="3A4A28"/>
          <w:sz w:val="20"/>
        </w:rPr>
        <w:t>FreeStyle Libre installed base expansion and next-generation iterations could drive medical devices segment to $20B+ annual revenue, with GLP-1 drug adoption increasing demand for glucose monitoring as the diabetes patient population grows [1]</w:t>
      </w:r>
    </w:p>
    <w:p>
      <w:pPr>
        <w:spacing w:before="40" w:after="40"/>
        <w:ind w:left="283"/>
      </w:pPr>
      <w:r>
        <w:rPr>
          <w:rFonts w:ascii="Calibri" w:hAnsi="Calibri"/>
          <w:b/>
          <w:color w:val="4A6B25"/>
          <w:sz w:val="20"/>
        </w:rPr>
        <w:t xml:space="preserve">3. </w:t>
      </w:r>
      <w:r>
        <w:rPr>
          <w:rFonts w:ascii="Calibri" w:hAnsi="Calibri"/>
          <w:b w:val="0"/>
          <w:color w:val="3A4A28"/>
          <w:sz w:val="20"/>
        </w:rPr>
        <w:t>Resolution or favorable settlement of NEC baby formula litigation (810 pending federal cases) could normalize GAAP margins from 11.6% toward the 20%+ adjusted margin run-rate, re-rating the trailing P/E from 37.7x toward 20x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NEC baby formula litigation -- 810 pending federal cases with a $70M Cook County verdict (April 2026) and $495M Missouri verdict (July 2024) create multi-billion dollar potential liability that could exceed current reserves and depress GAAP earnings for years [3]</w:t>
      </w:r>
    </w:p>
    <w:p>
      <w:pPr>
        <w:spacing w:before="40" w:after="40"/>
        <w:ind w:left="283"/>
      </w:pPr>
      <w:r>
        <w:rPr>
          <w:rFonts w:ascii="Calibri" w:hAnsi="Calibri"/>
          <w:b/>
          <w:color w:val="4A6B25"/>
          <w:sz w:val="20"/>
        </w:rPr>
        <w:t xml:space="preserve">2. </w:t>
      </w:r>
      <w:r>
        <w:rPr>
          <w:rFonts w:ascii="Calibri" w:hAnsi="Calibri"/>
          <w:b w:val="0"/>
          <w:color w:val="3A4A28"/>
          <w:sz w:val="20"/>
        </w:rPr>
        <w:t>Exact Sciences acquisition integration risk -- $16B price tag increases leverage and requires successful integration of cancer diagnostics into Abbott's existing commercial infrastructure, with execution failure potentially destroying shareholder value [2]</w:t>
      </w:r>
    </w:p>
    <w:p>
      <w:pPr>
        <w:spacing w:before="40" w:after="40"/>
        <w:ind w:left="283"/>
      </w:pPr>
      <w:r>
        <w:rPr>
          <w:rFonts w:ascii="Calibri" w:hAnsi="Calibri"/>
          <w:b/>
          <w:color w:val="4A6B25"/>
          <w:sz w:val="20"/>
        </w:rPr>
        <w:t xml:space="preserve">3. </w:t>
      </w:r>
      <w:r>
        <w:rPr>
          <w:rFonts w:ascii="Calibri" w:hAnsi="Calibri"/>
          <w:b w:val="0"/>
          <w:color w:val="3A4A28"/>
          <w:sz w:val="20"/>
        </w:rPr>
        <w:t>GAAP vs. adjusted earnings divergence masks underlying business quality -- trailing P/E of 37.7x and payout ratio of 81.54% on GAAP basis may concern investors who view adjusted metrics as overly generous, creating a valuation overhang until litigation is resolved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Abbott's core businesses are structurally immune to AI disruption. Medical devices (FreeStyle Libre CGM, cardiac implants, neuromodulation devices) require physical manufacturing, FDA regulatory approval, clinical trials, and physician adoption -- none of which AI can substitute [1]. Diagnostics instruments process physical patient samples through proprietary chemistry and hardware. Nutritional products (Ensure, Similac, Pedialyte) are physical consumer goods with brand trust built over decades. The healthcare regulatory environment (FDA 510(k), PMA approvals, GMP manufacturing standards) creates barriers that take years to navigate, protecting incumbents from rapid AI-enabled disruption. AI may increase demand for Abbott's diagnostics platforms as precision medicine and AI-driven clinical decision support require more diagnostic data inputs. AI Opportunity (1/1): Abbott generates AI-embedded revenue through FreeStyle Libre's digital health platform, which uses machine learning algorithms to provide glucose insights, pattern recognition, and predictive alerts to millions of users. The Exact Sciences acquisition brings AI-powered cancer screening analytics [2]. While Abbott does not separately report AI revenue, these capabilities are integrated into products that collectively generate billions in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In Vitro Fertilization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Abbott Laboratories Q1 2026 Earnings and FY2026 Guidance -- Revenue Growth 8%, Adjusted EPS $5.45-$5.60, Exact Sciences Acquisition Impact, Organic Growth 6.5-7.5% -- PRNewswire, Abbott Mediaroom, April 2026</w:t>
      </w:r>
    </w:p>
    <w:p>
      <w:pPr>
        <w:spacing w:before="20" w:after="20"/>
        <w:ind w:left="170"/>
      </w:pPr>
      <w:r>
        <w:rPr>
          <w:rFonts w:ascii="Calibri" w:hAnsi="Calibri"/>
          <w:b/>
          <w:color w:val="4A6B25"/>
          <w:sz w:val="15"/>
        </w:rPr>
        <w:t xml:space="preserve">2. </w:t>
      </w:r>
      <w:r>
        <w:rPr>
          <w:rFonts w:ascii="Calibri" w:hAnsi="Calibri"/>
          <w:b w:val="0"/>
          <w:color w:val="3A4A28"/>
          <w:sz w:val="17"/>
        </w:rPr>
        <w:t>Abbott Laboratories CEO Robert Ford Leadership Profile, Medical Technology Pipeline, Exact Sciences Acquisition Strategy -- Chief Executive, VectorShift Research, MLQ.ai, 2025-2026</w:t>
      </w:r>
    </w:p>
    <w:p>
      <w:pPr>
        <w:spacing w:before="20" w:after="20"/>
        <w:ind w:left="170"/>
      </w:pPr>
      <w:r>
        <w:rPr>
          <w:rFonts w:ascii="Calibri" w:hAnsi="Calibri"/>
          <w:b/>
          <w:color w:val="4A6B25"/>
          <w:sz w:val="15"/>
        </w:rPr>
        <w:t xml:space="preserve">3. </w:t>
      </w:r>
      <w:r>
        <w:rPr>
          <w:rFonts w:ascii="Calibri" w:hAnsi="Calibri"/>
          <w:b w:val="0"/>
          <w:color w:val="3A4A28"/>
          <w:sz w:val="17"/>
        </w:rPr>
        <w:t>Abbott Laboratories NEC Baby Formula Litigation -- $70M Cook County Verdict (April 2026), 810 Pending Federal Cases, $495M Missouri Verdict -- DrugWatch, TorHoerman Law, ConsumerNotice,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ABT Key Statistics: Forward P/E 19.23, ROE 10.58%, D/E 63%, Profit Margin 11.6%, Dividend Yield 2.13%, 54 Consecutive Years Growth,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