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ACCV</w:t>
      </w:r>
      <w:r>
        <w:rPr>
          <w:rFonts w:ascii="Calibri" w:hAnsi="Calibri"/>
          <w:b/>
          <w:color w:val="1A2010"/>
          <w:sz w:val="40"/>
        </w:rPr>
        <w:t xml:space="preserve">  Accelevation Holdings Corp.</w:t>
      </w:r>
    </w:p>
    <w:p>
      <w:pPr>
        <w:spacing w:after="120"/>
      </w:pPr>
      <w:r>
        <w:rPr>
          <w:rFonts w:ascii="Calibri" w:hAnsi="Calibri"/>
          <w:b/>
          <w:color w:val="6E8450"/>
          <w:sz w:val="18"/>
        </w:rPr>
        <w:t>GROWTH SLEEVE · 2026-10-07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Accelevation Holdings Corp. designs, manufactures, and installs power distribution and white space infrastructure products for mission-critical data center environments. Products include the SkyBridge modular platform, techFrame steel structures, thermal management products, remote power panels, power distribution units, and installation services. The company serves hyperscaler, colocation, and data center customers. Founded in 2017, headquartered in Miamisburg, Ohio; IPO'd September 30, 2026 at $18 per share.</w:t>
      </w:r>
    </w:p>
    <w:p>
      <w:r>
        <w:rPr>
          <w:rFonts w:ascii="Calibri" w:hAnsi="Calibri"/>
          <w:b/>
          <w:color w:val="6E8450"/>
          <w:sz w:val="18"/>
        </w:rPr>
        <w:t>https://www.accelevation.com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Accelevation scaled from founding in 2017 to $447.8M revenue by 2025, a 147% YoY increase, with H1 2026 revenue of $437.5M already approaching full-year 2025 [1][3]. Successfully launched multiple product lines including SkyBridge modular platform, techFrame, and high-density remote power panels for data center white space. AI Deployment (0/2): No AI-powered products; the company builds physical electrical infrastructure, not software or AI solutions. Market Share Leadership (1/2): Growing rapidly with a record $1.11B backlog from hyperscaler customers [3], but remains a smaller player against established incumbents like Eaton, Vertiv, and Schneider Electric in data center power distribution. Product Pipeline (1/2): Expanding thermal management and high-density RPP capabilities but no specific next-generation products with named launch dates disclosed in S-1 filings [1]. R&amp;D Intensity (0/1): No R&amp;D spending data disclosed in public filings.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Accelevation articulates cultural values including 'Fearless Innovation' and 'Radical Truth and Radical Transparency' but lacks a distinctive purpose statement beyond building data center infrastructure [6]. The values are more operational philosophy than aspirational cause. Community &amp; Charitable Impact (0/2): No evidence of charitable programs, community investment, or philanthropic initiatives found in IPO filings or company materials. Employee Retention (0/2): No retention or tenure data available; company is only 9 years old with no public workforce metrics disclosed. Insider Buying (1/2): As a newly IPO'd PE-backed company (Olympus Partners), no meaningful insider buying data exists post-IPO, though CEO Michael Rubiera has maintained significant equity ownership since founding [1][4].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 calculation on available metrics yields 4/10. Extreme leverage dominates: D/E of 2,202% reflects the PE-backed capital structure with $689M in total debt against minimal equity [1][2]. Revenue growth is exceptional at 80% YoY but profit margins remain thin at 6.8% on $726.6M TTM revenue [2]. ROE, Forward P/E, PEG ratio, and 5-year CAGR data are unavailable due to the company's recent IPO and limited public trading history. IPO proceeds of $540M are earmarked partly for debt reduction, which should improve the balance sheet over time [4]. Liquidity is adequate with 7.3M shares average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Accelevation is a PE-backed company (Olympus Partners) that IPO'd primarily to deleverage its balance sheet and provide liquidity for sponsors [1][4]. The company's strategic orientation is growth-maximization during the AI data center buildout cycle rather than building enduring institutional capability. While execution has been strong, the finite-game orientation is evident in the capital structure, sponsor-driven timeline, and absence of an articulated long-term cause beyond capitalizing on current market demand.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Just Cause evident beyond profit and growth. Accelevation exists to build data center infrastructure during a demand supercycle. Cultural values like 'Radical Truth and Radical Transparency' describe how the company operates, not why it exists [6]. The IPO prospectus focuses on market opportunity and financial returns, not on a vision of a better future. This is a company playing to win the current cycle, not to keep playing indefinitely.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Employee reviews describe a 'great collaborative culture with innovative projects and strong leadership support' with high ratings for culture and career opportunities [5]. The company's stated values of 'Radical Truth and Radical Transparency' and emphasis on a flat organization suggest intentional trust-building [6]. However, the company is young and has not been tested through a downturn or leadership transition. Adequate trust indicators without evidence of exceptional organizational resilience.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an infinite competitive mindset. Accelevation competes against established players like Eaton, Vertiv, and Schneider Electric but public materials focus on the company's own growth trajectory and market opportunity rather than learning from rivals or acknowledging competitors' strengths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Accelevation is too young to have faced an existential flexibility test. Founded in 2017, the company has operated during a single favorable market cycle for data center infrastructure. No evidence of strategic pivots or business model transformation — the company has pursued one strategy (data center power distribution) since inception [1]. The current AI-driven demand supercycle has not required adaptation.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Founder Michael Rubiera started Accelevation in 2017, well before the AI data center boom, demonstrating foresight in identifying mission-critical power distribution as a growth market [1]. Scaling from startup to $447.8M revenue in 8 years required bold capital allocation and operational decisions. However, the PE-backed structure and IPO-as-exit strategy temper the courage assessment — growth was funded by leverage rather than patient internal capital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Accelevation is a pure-play beneficiary of the AI data center buildout, positioned at the critical intersection of power distribution and white space infrastructure. Revenue grew 147% YoY to $447.8M in 2025, with H1 2026 revenue of $437.5M already approaching the full prior year [1][3]. The $1.11B backlog — up from $419M at year-end 2025 — provides multi-year revenue visibility from hyperscaler customers. The vertically integrated model (design, manufacture, install) creates operational efficiency and switching costs with mission-critical clients who cannot tolerate downtime.</w:t>
      </w:r>
    </w:p>
    <w:p>
      <w:pPr>
        <w:spacing w:after="120"/>
      </w:pPr>
      <w:r>
        <w:rPr>
          <w:rFonts w:ascii="Calibri" w:hAnsi="Calibri"/>
          <w:b w:val="0"/>
          <w:color w:val="3A4A28"/>
          <w:sz w:val="20"/>
        </w:rPr>
        <w:t>The bear case centers on extreme financial leverage (D/E 2,202%) and the PE-backed capital structure that prioritizes sponsor returns over long-term value creation [1][2]. Profit margins remain thin at 6.8% despite explosive revenue growth, raising questions about pricing power and operational efficiency at scale. The stock trades at $16.40, below its $18 IPO price, suggesting the market is skeptical about the valuation premium for a leveraged industrials company [4]. Customer concentration risk with hyperscaler clients who wield enormous bargaining power, combined with the cyclical risk that AI capex spending could slow or plateau, represents material downside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AI data center capex from hyperscalers driving continued power distribution demand and backlog growth beyond the current $1.11B level [3]</w:t>
      </w:r>
    </w:p>
    <w:p>
      <w:pPr>
        <w:spacing w:before="40" w:after="40"/>
        <w:ind w:left="283"/>
      </w:pPr>
      <w:r>
        <w:rPr>
          <w:rFonts w:ascii="Calibri" w:hAnsi="Calibri"/>
          <w:b/>
          <w:color w:val="4A6B25"/>
          <w:sz w:val="20"/>
        </w:rPr>
        <w:t xml:space="preserve">2. </w:t>
      </w:r>
      <w:r>
        <w:rPr>
          <w:rFonts w:ascii="Calibri" w:hAnsi="Calibri"/>
          <w:b w:val="0"/>
          <w:color w:val="3A4A28"/>
          <w:sz w:val="20"/>
        </w:rPr>
        <w:t>Balance sheet deleveraging using $540M IPO proceeds to reduce the extreme 2,202% D/E ratio, potentially unlocking margin expansion and improved investor sentiment [4]</w:t>
      </w:r>
    </w:p>
    <w:p>
      <w:pPr>
        <w:spacing w:before="40" w:after="40"/>
        <w:ind w:left="283"/>
      </w:pPr>
      <w:r>
        <w:rPr>
          <w:rFonts w:ascii="Calibri" w:hAnsi="Calibri"/>
          <w:b/>
          <w:color w:val="4A6B25"/>
          <w:sz w:val="20"/>
        </w:rPr>
        <w:t xml:space="preserve">3. </w:t>
      </w:r>
      <w:r>
        <w:rPr>
          <w:rFonts w:ascii="Calibri" w:hAnsi="Calibri"/>
          <w:b w:val="0"/>
          <w:color w:val="3A4A28"/>
          <w:sz w:val="20"/>
        </w:rPr>
        <w:t>Margin expansion as manufacturing scale increases and the company transitions from build-out mode to steady-state operations with higher-margin service and maintenance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D/E ratio exceeding 2,200% creates financial fragility — even a modest revenue shortfall could stress debt service obligations [1][2]</w:t>
      </w:r>
    </w:p>
    <w:p>
      <w:pPr>
        <w:spacing w:before="40" w:after="40"/>
        <w:ind w:left="283"/>
      </w:pPr>
      <w:r>
        <w:rPr>
          <w:rFonts w:ascii="Calibri" w:hAnsi="Calibri"/>
          <w:b/>
          <w:color w:val="4A6B25"/>
          <w:sz w:val="20"/>
        </w:rPr>
        <w:t xml:space="preserve">2. </w:t>
      </w:r>
      <w:r>
        <w:rPr>
          <w:rFonts w:ascii="Calibri" w:hAnsi="Calibri"/>
          <w:b w:val="0"/>
          <w:color w:val="3A4A28"/>
          <w:sz w:val="20"/>
        </w:rPr>
        <w:t>Hyperscaler customer concentration risk: a slowdown in AI capex spending by major cloud providers would directly reduce order volumes and backlog conversion [3]</w:t>
      </w:r>
    </w:p>
    <w:p>
      <w:pPr>
        <w:spacing w:before="40" w:after="40"/>
        <w:ind w:left="283"/>
      </w:pPr>
      <w:r>
        <w:rPr>
          <w:rFonts w:ascii="Calibri" w:hAnsi="Calibri"/>
          <w:b/>
          <w:color w:val="4A6B25"/>
          <w:sz w:val="20"/>
        </w:rPr>
        <w:t xml:space="preserve">3. </w:t>
      </w:r>
      <w:r>
        <w:rPr>
          <w:rFonts w:ascii="Calibri" w:hAnsi="Calibri"/>
          <w:b w:val="0"/>
          <w:color w:val="3A4A28"/>
          <w:sz w:val="20"/>
        </w:rPr>
        <w:t>Trading below IPO price ($16.40 vs $18 IPO) with PE sponsor lock-up overhang — potential selling pressure when lock-up expires could further depress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Accelevation is structurally immune to AI disruption — AI is the primary demand driver, not a competitive threat. The company designs, manufactures, and installs physical power distribution and white space infrastructure that AI data centers require [1]. Hyperscaler buildout of AI training and inference capacity directly increases demand for Accelevation's products; the $1.11B backlog is substantially driven by AI data center construction [3]. Physical manufacturing and installation services cannot be automated away by AI software. AI Opportunity (0/1): Accelevation does not generate revenue from AI products or services directly — it sells physical electrical infrastructure to AI data center operators, making it an AI beneficiary rather than an AI vendor.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Accelevation Holdings Corp. S-1/A Filing, SEC, September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ACCV key statistics,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Pulse2 — 'Accelevation Files For IPO With $1.1 Billion Backlog Following 147% Revenue Growth,' September 2026</w:t>
      </w:r>
    </w:p>
    <w:p>
      <w:pPr>
        <w:spacing w:before="20" w:after="20"/>
        <w:ind w:left="170"/>
      </w:pPr>
      <w:r>
        <w:rPr>
          <w:rFonts w:ascii="Calibri" w:hAnsi="Calibri"/>
          <w:b/>
          <w:color w:val="4A6B25"/>
          <w:sz w:val="15"/>
        </w:rPr>
        <w:t xml:space="preserve">4. </w:t>
      </w:r>
      <w:r>
        <w:rPr>
          <w:rFonts w:ascii="Calibri" w:hAnsi="Calibri"/>
          <w:b w:val="0"/>
          <w:color w:val="3A4A28"/>
          <w:sz w:val="17"/>
        </w:rPr>
        <w:t>GuruFocus — 'Accelevation Holdings Corp. (ACCV) Raises $540M in IPO at $18 per Share,'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Accelevation employee reviews,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Accelevation.com — Leadership and Company Values,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