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ACDC</w:t>
      </w:r>
      <w:r>
        <w:rPr>
          <w:rFonts w:ascii="Calibri" w:hAnsi="Calibri"/>
          <w:b/>
          <w:color w:val="1A2010"/>
          <w:sz w:val="40"/>
        </w:rPr>
        <w:t xml:space="preserve">  ProFrac Holding Corp.</w:t>
      </w:r>
    </w:p>
    <w:p>
      <w:pPr>
        <w:spacing w:after="120"/>
      </w:pPr>
      <w:r>
        <w:rPr>
          <w:rFonts w:ascii="Calibri" w:hAnsi="Calibri"/>
          <w:b/>
          <w:color w:val="6E8450"/>
          <w:sz w:val="18"/>
        </w:rPr>
        <w:t>GROWTH SLEEVE · 2026-09-22 · Inspire: 34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Equipment &amp; Services · NASDAQ · United States</w:t>
      </w:r>
    </w:p>
    <w:p>
      <w:pPr>
        <w:spacing w:after="80"/>
      </w:pPr>
      <w:r>
        <w:rPr>
          <w:rFonts w:ascii="Calibri" w:hAnsi="Calibri"/>
          <w:b w:val="0"/>
          <w:color w:val="3A4A28"/>
          <w:sz w:val="20"/>
        </w:rPr>
        <w:t>ProFrac Holding Corp. operates as a vertically integrated energy services company providing hydraulic fracturing, proppant production, well stimulation, equipment manufacturing, and specialty chemistry services to upstream oil and gas companies in the United States. Operating through Stimulation Services, Proppant Production, Manufacturing, and Flotek Industries segments, ProFrac has grown through acquisitions including US Well Services, Flotek Industries, and Performance Proppants. Q2 2026 revenue of $498M (+11% sequential) and adjusted EBITDA of $69M showed improving trajectory, but TTM revenue of $1.79B remains down 18.9% YoY amid persistent oilfield services pricing pressure. Market cap ~$903M.</w:t>
      </w:r>
    </w:p>
    <w:p>
      <w:r>
        <w:rPr>
          <w:rFonts w:ascii="Calibri" w:hAnsi="Calibri"/>
          <w:b/>
          <w:color w:val="6E8450"/>
          <w:sz w:val="18"/>
        </w:rPr>
        <w:t>2,280 Employees · https://www.pfholdingscorp.com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ProFrac has built a vertically integrated model through aggressive acquisitions (US Well Services electric frac fleets, Flotek specialty chemistry, multiple proppant assets) and fleet modernization toward electric and dual-fuel frac technology [1]. However, revenue has declined from $2.63B peak (2023) to TTM $1.79B — a 32% contraction — indicating that acquisition-driven expansion has not offset severe pricing headwinds in the completions market. AI Deployment (0/2): No evidence of AI-powered products shipping to customers or quantified AI-driven cost savings. A Seismos partnership for real-time frac monitoring was showcased at a ProFrac STARS event, but no disclosed revenue or efficiency impact [2]. Market Share (1/2): ProFrac is among the largest pure-play hydraulic fracturing companies in North America with Q2 2026 showing $498M in revenue and sequential growth across segments, but the company remains behind Halliburton and Liberty Energy in scale and operates in a fragmented, commoditized market [1]. Pipeline (1/2): Investment in next-generation electric frac fleets and exploration of geothermal applications provide some forward visibility, but no specific next-gen products with named launch dates or revenue targets have been disclosed [1]. R&amp;D Intensity (1/1): ProFrac invests in custom-built electric frac fleets, dual-fuel conversion technology, and Flotek's chemistry optimization capabilities — above average for oilfield services peers focused primarily on operational execution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ProFrac's stated purpose centers on putting 'people with real field experience in charge of building the next generation of frac services' — practical and identifies the company's approach but generic and interchangeable with any oilfield services competitor [2]. No distinctive vision beyond operational excellence in completions. Community Impact (0/2): No evidence of charitable programs, foundation activities, or community investment aligned with a broader purpose. The company touts 50% board diversity but this is governance, not community impact [3]. Employee Retention (0/2): Glassdoor shows a 2.9/5 rating based on 135 reviews with only 39% recommending to a friend, 2.4/5 for culture and values, and employee reviews citing 'frequent layoffs' and 'bad management' — indicators of a high-turnover, low-trust environment [2]. Insider Buying (2/2): Meaningful insider conviction — Farris Wilks purchased $10M of ACDC stock at $4.00/share in August 2025, and Matt Wilks bought $165K in September 2025 [2]. The Wilks family maintains substantial equity ownership through the dual-class share structure, demonstrating skin-in-the-game alignment during the downturn.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 of 169.8% is elevated (scoring 0.57 against 70% target/300% floor), driven by $1.22B in total debt against only $18.8M cash [1]. ROE of -44.8% is deeply negative, scoring 0 on the 2x-weighted metric. Revenue growth YoY of -0.8% scores 0.64, with TTM revenue of $1.79B down from $2.63B peak as the oilfield services pricing cycle deteriorated [1]. Profit margin of -22.8% scores 0, reflecting ongoing GAAP losses despite Q2 2026 adjusted EBITDA improvement to $69M (up from $54M in Q1) [1]. Forward P/E is negative (forward EPS -$0.70), excluded as meaningless for valuation. PEG ratio unavailable. Revenue 5yr CAGR unavailable (company IPO'd in 2022). Weighted sum of 1.21 on 5 available weight units yields raw score of 2. Liquidity clears the floor: avg daily volume 1.59M × $4.96 = $7.9M.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ProFrac exhibits predominantly finite-game characteristics. The Wilks family maintains tight control through a dual-class share structure that prioritizes family ownership, and growth has come through debt-funded acquisitions ($1.22B debt) rather than organic capability building. Glassdoor ratings of 2.9/5 and frequent layoffs indicate cultural strain. However, the Wilks family's $10M+ insider buying at depressed prices signals personal conviction, and the transition to Matt Wilks as CEO in August 2026 may bring renewed strategic focus. The vertical integration vision could create enduring competitive advantage if execution improves.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ProFrac's purpose of putting experienced operators in charge of next-generation frac services is operational rather than aspirational [2]. It describes how the company operates, not a vision of a future state worth sacrificing for. The dual-class share structure concentrating control with the Wilks family, combined with an acquisition-driven growth strategy, suggests the company exists to consolidate a fragmented market for shareholder benefit rather than to advance a cause that transcends profitability.</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Employee sentiment is weak. Glassdoor rates ProFrac 2.9/5 (well below the Energy industry average of 3.7), with only 39% recommending to a friend and 2.4/5 for culture and values [2]. Reviews cite 'frequent layoffs,' 'bad management,' mandatory overtime, and lack of direction — hallmarks of a low-trust environment where employees protect themselves rather than advance a shared cause. The August 2026 CEO transition from Ladd Wilks to Matt Wilks keeps governance within the family, limiting non-family advancement.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ProFrac's competitive strategy has been acquisition-driven consolidation — buying competitors (US Well Services, Flotek) rather than learning from their strengths [1]. Management commentary focuses on vertical integration advantages and competitive positioning through cost structure, framing competition in finite terms of market share accumulation rather than mutual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ProFrac has shown incremental flexibility by acquiring US Well Services' electric frac fleet technology, pivoting toward natural gas-powered Tier IV DGB equipment as the industry shifts from diesel, and adding Flotek's specialty chemistry capabilities [1]. These moves represent adaptation to energy transition dynamics (ESG pressure, emissions reduction) rather than transformative reinvention, but they demonstrate willingness to evolve the business model beyond pure pressure pumping.</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Wilks family made bold consolidation bets during the 2022-2023 oilfield services boom, acquiring multiple companies to build a vertically integrated frac platform [1]. Farris Wilks' $10M insider stock purchase at $4.00/share during the downturn demonstrates personal conviction and willingness to back the company with personal capital when the market was deeply skeptical [2]. However, the $1.22B debt load and continued GAAP losses suggest some bets were forced by competitive necessity rather than purely courageous long-term thinking.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ProFrac offers a deeply discounted entry into vertically integrated North American hydraulic fracturing at $4.96/share (~0.5x TTM revenue, ~3.3x annualized Q2 EBITDA). Q2 2026 showed meaningful sequential improvement — revenue of $498M (+11% from Q1's $450M) and adjusted EBITDA of $69M (up 28% from $54M) — suggesting the trough may be behind the company [1]. Vertical integration across frac fleets, sand mines, manufacturing, and specialty chemistry provides structural cost advantages that should amplify operating leverage when completions activity recovers. The Wilks family's $10M+ insider buying at $4.00/share signals conviction from those closest to the business. Free cash flow of $67M on a TTM basis provides liquidity despite the heavy debt load.</w:t>
      </w:r>
    </w:p>
    <w:p>
      <w:pPr>
        <w:spacing w:after="120"/>
      </w:pPr>
      <w:r>
        <w:rPr>
          <w:rFonts w:ascii="Calibri" w:hAnsi="Calibri"/>
          <w:b w:val="0"/>
          <w:color w:val="3A4A28"/>
          <w:sz w:val="20"/>
        </w:rPr>
        <w:t>The bear case remains severe. ProFrac is deeply unprofitable on a GAAP basis with -22.8% profit margin, -44.8% ROE, and consensus full-year 2026 EPS of -$1.03 to -$1.28 [1]. Debt of $1.22B against $18.8M cash creates significant financial fragility with D/E of 170%, and TTM revenue of $1.79B is down 32% from the 2023 peak of $2.63B. The dual-class share structure concentrates control with the Wilks family, and the CEO transition from Ladd Wilks to Matt Wilks in August 2026 maintains family governance rather than introducing independent leadership. Glassdoor ratings of 2.9/5 with frequent layoff reports indicate cultural dysfunction that limits talent retention in a skilled-labor industry [2]. The hydraulic fracturing market remains fragmented with excess fleet supply that suppresses pricing, and recovery timing depends on oil prices and E&amp;P capital discipline beyond management's control. The Inspire Impact Score of 34 (ALIGNED) provides faith-based appeal but cannot offset fundamental financial weakness.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Sequential revenue and EBITDA improvement — Q2 2026 revenue of $498M (+11% from Q1) and EBITDA of $69M (+28%) suggest early cyclical inflection that could accelerate if E&amp;P operators increase completion activity in H2 2026 and into 2027 [1]</w:t>
      </w:r>
    </w:p>
    <w:p>
      <w:pPr>
        <w:spacing w:before="40" w:after="40"/>
        <w:ind w:left="283"/>
      </w:pPr>
      <w:r>
        <w:rPr>
          <w:rFonts w:ascii="Calibri" w:hAnsi="Calibri"/>
          <w:b/>
          <w:color w:val="4A6B25"/>
          <w:sz w:val="20"/>
        </w:rPr>
        <w:t xml:space="preserve">2. </w:t>
      </w:r>
      <w:r>
        <w:rPr>
          <w:rFonts w:ascii="Calibri" w:hAnsi="Calibri"/>
          <w:b w:val="0"/>
          <w:color w:val="3A4A28"/>
          <w:sz w:val="20"/>
        </w:rPr>
        <w:t>Vertical integration margin expansion leveraging in-house proppant supply and equipment manufacturing to capture more value per frac stage during an upcycle, potentially driving EBITDA margins toward mid-cycle levels of 15-20%</w:t>
      </w:r>
    </w:p>
    <w:p>
      <w:pPr>
        <w:spacing w:before="40" w:after="40"/>
        <w:ind w:left="283"/>
      </w:pPr>
      <w:r>
        <w:rPr>
          <w:rFonts w:ascii="Calibri" w:hAnsi="Calibri"/>
          <w:b/>
          <w:color w:val="4A6B25"/>
          <w:sz w:val="20"/>
        </w:rPr>
        <w:t xml:space="preserve">3. </w:t>
      </w:r>
      <w:r>
        <w:rPr>
          <w:rFonts w:ascii="Calibri" w:hAnsi="Calibri"/>
          <w:b w:val="0"/>
          <w:color w:val="3A4A28"/>
          <w:sz w:val="20"/>
        </w:rPr>
        <w:t>Debt reduction using free cash flow ($67M TTM) to deleverage from $1.22B in total debt, which would reduce financial risk premium and support equity re-rating if operating momentum continues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Sustained oil price weakness or E&amp;P spending cuts would extend the revenue decline and loss run-rate beyond current projections — TTM revenue of $1.79B is down 32% from peak and the frac market remains oversupplied [1]</w:t>
      </w:r>
    </w:p>
    <w:p>
      <w:pPr>
        <w:spacing w:before="40" w:after="40"/>
        <w:ind w:left="283"/>
      </w:pPr>
      <w:r>
        <w:rPr>
          <w:rFonts w:ascii="Calibri" w:hAnsi="Calibri"/>
          <w:b/>
          <w:color w:val="4A6B25"/>
          <w:sz w:val="20"/>
        </w:rPr>
        <w:t xml:space="preserve">2. </w:t>
      </w:r>
      <w:r>
        <w:rPr>
          <w:rFonts w:ascii="Calibri" w:hAnsi="Calibri"/>
          <w:b w:val="0"/>
          <w:color w:val="3A4A28"/>
          <w:sz w:val="20"/>
        </w:rPr>
        <w:t>Refinancing risk on $1.22B debt with D/E of 170% and thin cash ($18.8M) — credit markets may demand punitive terms or dilutive equity issuances if operating cash flow deteriorates</w:t>
      </w:r>
    </w:p>
    <w:p>
      <w:pPr>
        <w:spacing w:before="40" w:after="40"/>
        <w:ind w:left="283"/>
      </w:pPr>
      <w:r>
        <w:rPr>
          <w:rFonts w:ascii="Calibri" w:hAnsi="Calibri"/>
          <w:b/>
          <w:color w:val="4A6B25"/>
          <w:sz w:val="20"/>
        </w:rPr>
        <w:t xml:space="preserve">3. </w:t>
      </w:r>
      <w:r>
        <w:rPr>
          <w:rFonts w:ascii="Calibri" w:hAnsi="Calibri"/>
          <w:b w:val="0"/>
          <w:color w:val="3A4A28"/>
          <w:sz w:val="20"/>
        </w:rPr>
        <w:t>Concentrated family governance through dual-class shares limits independent oversight; the August 2026 CEO transition maintains Wilks family control, and Glassdoor's 2.9/5 rating suggests cultural issues that may impede talent retention and operational execution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ProFrac's core business — hydraulic fracturing, proppant mining and production, and heavy equipment manufacturing — is inherently physical-world and structurally immune to AI displacement [1]. Pressure pumping requires deploying thousands of horsepower at well sites, trained crews operating in harsh field conditions, and real-time parameter adjustment during fracturing operations. Sand mining, processing, and logistics are entirely physical. No analyst has identified AI as a substitution risk for pressure pumping services; AI-driven completion optimization could actually increase demand for more efficient frac services as operators maximize recovery per dollar [1]. AI Opportunity (0/1): ProFrac does not generate revenue from AI products or services. While the company uses some data analytics through the Seismos partnership, there is no quantifiable AI revenue contribution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ProFrac Holding Corp. Q2 2026 Earnings — Revenue $498M (+11% sequential), Adjusted EBITDA $69M, TTM Revenue $1.79B (-18.9% YoY), Investing.com, GuruFocus, Motley Fool, August 2026</w:t>
      </w:r>
    </w:p>
    <w:p>
      <w:pPr>
        <w:spacing w:before="20" w:after="20"/>
        <w:ind w:left="170"/>
      </w:pPr>
      <w:r>
        <w:rPr>
          <w:rFonts w:ascii="Calibri" w:hAnsi="Calibri"/>
          <w:b/>
          <w:color w:val="4A6B25"/>
          <w:sz w:val="15"/>
        </w:rPr>
        <w:t xml:space="preserve">2. </w:t>
      </w:r>
      <w:r>
        <w:rPr>
          <w:rFonts w:ascii="Calibri" w:hAnsi="Calibri"/>
          <w:b w:val="0"/>
          <w:color w:val="3A4A28"/>
          <w:sz w:val="17"/>
        </w:rPr>
        <w:t>ProFrac Leadership, Culture, Insider Transactions — Matt Wilks CEO Aug 2026, Glassdoor 2.9/5 (135 reviews), Farris Wilks $10M Purchase Aug 2025, LinkedIn/Glassdoor/SEC Form 4,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ProFrac ESG Profile — No controversy level identified, 50% board diversity, lower-emission fleet positioning, Yahoo Finance Sustainability,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