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ACHC</w:t>
      </w:r>
      <w:r>
        <w:rPr>
          <w:rFonts w:ascii="Calibri" w:hAnsi="Calibri"/>
          <w:b/>
          <w:color w:val="1A2010"/>
          <w:sz w:val="40"/>
        </w:rPr>
        <w:t xml:space="preserve">  Acadia Healthcare Company, Inc.</w:t>
      </w:r>
    </w:p>
    <w:p>
      <w:pPr>
        <w:spacing w:after="120"/>
      </w:pPr>
      <w:r>
        <w:rPr>
          <w:rFonts w:ascii="Calibri" w:hAnsi="Calibri"/>
          <w:b/>
          <w:color w:val="6E8450"/>
          <w:sz w:val="18"/>
        </w:rPr>
        <w:t>GROWTH SLEEVE · 2026-08-31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Behavioral Health · NASDAQ · United States</w:t>
      </w:r>
    </w:p>
    <w:p>
      <w:pPr>
        <w:spacing w:after="80"/>
      </w:pPr>
      <w:r>
        <w:rPr>
          <w:rFonts w:ascii="Calibri" w:hAnsi="Calibri"/>
          <w:b w:val="0"/>
          <w:color w:val="3A4A28"/>
          <w:sz w:val="20"/>
        </w:rPr>
        <w:t>Acadia Healthcare Company is one of the largest providers of behavioral health and addiction treatment services in the United States, operating 258 facilities across 38 states. Services include inpatient psychiatric care, residential treatment, partial hospitalization, intensive outpatient programs, and substance use disorder treatment. The company has faced significant legal challenges including a $179M securities fraud settlement, DOJ/SEC investigations related to billing practices, and patient safety allegations documented in a New York Times expose. Debbie Osteen returned as CEO in January 2026, bringing 35+ years of behavioral health leadership experience to guide the company's turnaround. FY2026 revenue guidance was raised to $3.40-$3.45B.</w:t>
      </w:r>
    </w:p>
    <w:p>
      <w:r>
        <w:rPr>
          <w:rFonts w:ascii="Calibri" w:hAnsi="Calibri"/>
          <w:b/>
          <w:color w:val="6E8450"/>
          <w:sz w:val="18"/>
        </w:rPr>
        <w:t>42,000 Employees · https://www.acadiahealthcare.com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Acadia Healthcare has grown almost entirely through serial acquisitions of behavioral health facilities, not through product launches, market pivots, or business model transformations [1]. The core operating model — inpatient and outpatient behavioral health services — is fundamentally unchanged over the past decade. No new service categories, delivery models, or treatment modalities have been introduced that differentiate Acadia from other behavioral health providers. AI Deployment (1/2): The company is rolling out AI-driven billing technology to improve revenue cycle management and address operational friction in claims processing [2]. This represents targeted internal deployment with measurable goals, but no AI products or services are being delivered to patients or customers. Market Share (1/2): Acadia is one of the largest behavioral healthcare chains in the U.S. with 258 locations in 38 states, making it a meaningful player in a fragmented market [3]. However, behavioral health is highly localized and Acadia does not hold category-defining market share in any geography. Pipeline (0/2): No next-generation services, treatment modalities, or expansion programs with specific timelines have been announced. Growth strategy remains acquisition-driven without visible innovation pipeline. R&amp;D Intensity (0/1): As a healthcare services company, Acadia has negligible R&amp;D spending relative to revenue. The company does not invest in clinical research or treatment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Acadia's stated purpose centers on providing behavioral health treatment — 'dedicated to helping people with mental health and substance use conditions' [2]. This identifies what the company does and for whom, but the mission is severely undermined by the company's documented practices: holding patients against their will to maximize insurance payouts, sexual abuse of patients, and fraudulent billing that prompted a DOJ settlement [3]. The gap between stated purpose and actual behavior makes the mission aspirational rather than lived. Community Impact (0/2): Rather than positive community impact, Acadia's record includes a New York Times expose, facility closures following abuse allegations, and communities harmed by the company's practices [3]. No evidence of meaningful charitable giving or positive community investment was found. Employee Retention (0/2): The $105M wrongful termination verdict against an Acadia entity — where a female staffer was terminated after reporting unsafe conditions and sexual harassment — suggests a low-trust, retaliatory workplace culture [3]. No positive retention data was found. Insider Buying (0/2): No insider buying data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Acadia's D/E of 136% is moderately elevated but manageable for a facility-intensive healthcare services company [4]. Revenue growth is respectable at 6.8% YoY and a 5-year CAGR of 9.6%, both approaching the 10% target [1]. The forward P/E of 18.17x is below the 20x target, reflecting analyst expectations of $1.45-$1.60 adjusted EPS for FY2026. However, the TTM profit margin of -32.84% (GAAP) is deeply negative due to massive legal settlements in the trailing twelve months — including the $179M securities fraud settlement and $105M wrongful termination verdict — dragging the overall score [3][4]. ROE of 6.2% (likely adjusted or normalized) is well below the 15% target. The PEG ratio of 11.51 reflects the stock's premium valuation relative to its low ~1.6% earnings growth rate, scoring at the floor. Liquidity is strong: $27.69 stock price with 3.15M average daily volume (~$87.2M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Acadia Healthcare is a deeply finite player in Sinek's framework. The company's documented practices — holding patients against their will to maximize insurance payouts, sexual abuse of patients in its facilities, fraudulent billing that prompted DOJ investigation, and a retaliatory workplace culture evidenced by the $105M wrongful termination verdict — reveal an organization optimizing for short-term financial extraction rather than building an enduring institution that serves a just cause. The return of former CEO Debbie Osteen represents a backward-looking leadership move, and no evidence of transformative strategic vision, organizational trust, or purpose-driven decision-making was found.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Acadia's stated purpose of helping people with behavioral health conditions is profoundly contradicted by its documented practices. A New York Times expose revealed the company held patients against their will to maximize insurance payouts [3]. The $400M sexual abuse settlement, $179M securities fraud settlement, and $19.85M DOJ billing fraud settlement demonstrate that the company systematically prioritized revenue extraction over patient welfare. This is not a company with a Just Cause — it is a company whose operational DNA optimizes for financial extraction from vulnerable populations.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$105M wrongful termination verdict — where a female employee was fired after reporting unsafe conditions and sexual harassment — is direct evidence of a retaliatory, low-trust workplace [3]. DOJ/SEC investigations, high CEO turnover (Osteen is the third CEO in five years), and the pattern of whistleblower retaliation suggest an organization where employees cannot safely raise concerns. This is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Acadia's leadership framing competitors as worthy rivals or using competitive dynamics for self-improvement. The company's growth strategy has been acquisition-driven (buying competitors) rather than learning from them, which reflects a finite-game approach to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Acadia has evolved through acquisitions from a small behavioral health provider to a national platform with 258 facilities, and is now investing in AI billing technology and operational improvements [2]. The company is attempting a cultural and operational turnaround under returning CEO Osteen, which represents incremental adaptation. However, this evolution has been driven by financial engineering (serial acquisitions) rather than purpose-driven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Acadia's leadership history demonstrates the opposite of Sinek's courage — the company's practices prioritized short-term revenue (holding patients, fraudulent billing) over patient welfare and ethical operations [3]. The decision to bring back former CEO Osteen is a safe, backward-looking choice rather than a courageous investment in transformative new leadership. No examples were found of leadership sacrificing near-term results for long-term organizational health or ethical standing.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Acadia Healthcare operates in a structurally undersupplied behavioral health market, with the U.S. facing a well-documented shortage of mental health treatment capacity that supports long-term demand for inpatient and outpatient services. The return of experienced CEO Debbie Osteen (35+ years in behavioral health) brings operational stability, and the raised FY2026 revenue guidance to $3.40-$3.45B suggests the core business is growing at a healthy 6.8% rate [1]. At a forward P/E of 18.17x on adjusted EPS guidance of $1.45-$1.60, the stock may be attractively valued if the legal overhang resolves and margins normalize. Q1 2026 revenue grew 7.6% with adjusted EBITDA increasing to $144.2M, suggesting the underlying operations are recovering [1].</w:t>
      </w:r>
    </w:p>
    <w:p>
      <w:pPr>
        <w:spacing w:after="120"/>
      </w:pPr>
      <w:r>
        <w:rPr>
          <w:rFonts w:ascii="Calibri" w:hAnsi="Calibri"/>
          <w:b w:val="0"/>
          <w:color w:val="3A4A28"/>
          <w:sz w:val="20"/>
        </w:rPr>
        <w:t>The bear case is severe and multifaceted. Acadia faces existential legal and reputational risk — the $179M securities fraud settlement, $400M patient sexual abuse settlement, $105M wrongful termination verdict, ongoing DOJ/SEC investigations, and a May 2026 data breach create a compounding liability profile that is far from resolved [3]. TTM GAAP profit margin of -32.84% reflects the financial devastation of these settlements, and additional legal exposure remains uncertain. The company's documented practices of holding patients against their will and fraudulent billing, as detailed in the New York Times expose, represent not just legal risk but fundamental business model risk — reimbursement rates, referral patterns, and regulatory scrutiny could tighten permanently. The D/E of 136% limits financial flexibility to absorb further legal costs. CEO turnover (Osteen is the third CEO in five years) suggests organizational instability rather than strategic continuity.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Resolution of DOJ/SEC investigations with manageable penalties could remove the primary overhang suppressing the stock price and allow investors to underwrite normalized earnings of $1.45-$1.60 per share [3]</w:t>
      </w:r>
    </w:p>
    <w:p>
      <w:pPr>
        <w:spacing w:before="40" w:after="40"/>
        <w:ind w:left="283"/>
      </w:pPr>
      <w:r>
        <w:rPr>
          <w:rFonts w:ascii="Calibri" w:hAnsi="Calibri"/>
          <w:b/>
          <w:color w:val="4A6B25"/>
          <w:sz w:val="20"/>
        </w:rPr>
        <w:t xml:space="preserve">2. </w:t>
      </w:r>
      <w:r>
        <w:rPr>
          <w:rFonts w:ascii="Calibri" w:hAnsi="Calibri"/>
          <w:b w:val="0"/>
          <w:color w:val="3A4A28"/>
          <w:sz w:val="20"/>
        </w:rPr>
        <w:t>AI billing technology deployment improving revenue cycle efficiency could lift margins toward pre-settlement levels and demonstrate operational turnaround under CEO Osteen [2]</w:t>
      </w:r>
    </w:p>
    <w:p>
      <w:pPr>
        <w:spacing w:before="40" w:after="40"/>
        <w:ind w:left="283"/>
      </w:pPr>
      <w:r>
        <w:rPr>
          <w:rFonts w:ascii="Calibri" w:hAnsi="Calibri"/>
          <w:b/>
          <w:color w:val="4A6B25"/>
          <w:sz w:val="20"/>
        </w:rPr>
        <w:t xml:space="preserve">3. </w:t>
      </w:r>
      <w:r>
        <w:rPr>
          <w:rFonts w:ascii="Calibri" w:hAnsi="Calibri"/>
          <w:b w:val="0"/>
          <w:color w:val="3A4A28"/>
          <w:sz w:val="20"/>
        </w:rPr>
        <w:t>Structural demand growth in behavioral health services driven by the national mental health crisis, insurance parity enforcement, and post-pandemic behavioral health utilization trends supporting 6-8% organic revenue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Unresolved DOJ/SEC investigations could result in additional fines, exclusion from federal healthcare programs (CMS/Medicaid), or consent decree requirements that fundamentally constrain the business model [3]</w:t>
      </w:r>
    </w:p>
    <w:p>
      <w:pPr>
        <w:spacing w:before="40" w:after="40"/>
        <w:ind w:left="283"/>
      </w:pPr>
      <w:r>
        <w:rPr>
          <w:rFonts w:ascii="Calibri" w:hAnsi="Calibri"/>
          <w:b/>
          <w:color w:val="4A6B25"/>
          <w:sz w:val="20"/>
        </w:rPr>
        <w:t xml:space="preserve">2. </w:t>
      </w:r>
      <w:r>
        <w:rPr>
          <w:rFonts w:ascii="Calibri" w:hAnsi="Calibri"/>
          <w:b w:val="0"/>
          <w:color w:val="3A4A28"/>
          <w:sz w:val="20"/>
        </w:rPr>
        <w:t>Reputational damage from the New York Times expose and patient abuse allegations could permanently impair referral relationships with hospitals, insurers, and courts that supply Acadia's patient volume [3]</w:t>
      </w:r>
    </w:p>
    <w:p>
      <w:pPr>
        <w:spacing w:before="40" w:after="40"/>
        <w:ind w:left="283"/>
      </w:pPr>
      <w:r>
        <w:rPr>
          <w:rFonts w:ascii="Calibri" w:hAnsi="Calibri"/>
          <w:b/>
          <w:color w:val="4A6B25"/>
          <w:sz w:val="20"/>
        </w:rPr>
        <w:t xml:space="preserve">3. </w:t>
      </w:r>
      <w:r>
        <w:rPr>
          <w:rFonts w:ascii="Calibri" w:hAnsi="Calibri"/>
          <w:b w:val="0"/>
          <w:color w:val="3A4A28"/>
          <w:sz w:val="20"/>
        </w:rPr>
        <w:t>D/E of 136% combined with ongoing legal settlement payments and the May 2026 data breach create compounding financial and operational risk that could force dilutive capital raises or asset sales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Behavioral healthcare is structurally immune to AI disruption — inpatient psychiatric care, residential addiction treatment, and intensive outpatient programs require physical facilities, licensed clinicians, and in-person therapeutic relationships that AI cannot replicate [1]. Regulatory requirements (state licensing, CMS certification, Joint Commission accreditation) create barriers that AI technologies cannot circumvent. Mental health diagnosis and treatment planning require human clinical judgment, empathy, and the therapeutic alliance that are fundamental to patient outcomes. AI may enhance administrative functions (billing, scheduling, documentation) but cannot substitute for the core care delivery model. AI Opportunity (0/1): Acadia's AI billing technology rollout is an internal efficiency tool, not a revenue-generating AI product [2]. The company does not generate any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Acadia Healthcare Q2 2026 Earnings Release — Revenue $865.84M, raised FY2026 guidance to $3.40-$3.45B, Q1 revenue $828.8M (+7.6% YoY), adjusted EBITDA $144.2M, adjusted EPS guidance $1.45-$1.60, August 2026</w:t>
      </w:r>
    </w:p>
    <w:p>
      <w:pPr>
        <w:spacing w:before="20" w:after="20"/>
        <w:ind w:left="170"/>
      </w:pPr>
      <w:r>
        <w:rPr>
          <w:rFonts w:ascii="Calibri" w:hAnsi="Calibri"/>
          <w:b/>
          <w:color w:val="4A6B25"/>
          <w:sz w:val="15"/>
        </w:rPr>
        <w:t xml:space="preserve">2. </w:t>
      </w:r>
      <w:r>
        <w:rPr>
          <w:rFonts w:ascii="Calibri" w:hAnsi="Calibri"/>
          <w:b w:val="0"/>
          <w:color w:val="3A4A28"/>
          <w:sz w:val="17"/>
        </w:rPr>
        <w:t>Acadia Healthcare Leadership &amp; AI — CEO Debbie Osteen returned January 2026, AI-driven billing technology rollout, operational turnaround strategy — Yahoo Finance, Simply Wall St, 2026</w:t>
      </w:r>
    </w:p>
    <w:p>
      <w:pPr>
        <w:spacing w:before="20" w:after="20"/>
        <w:ind w:left="170"/>
      </w:pPr>
      <w:r>
        <w:rPr>
          <w:rFonts w:ascii="Calibri" w:hAnsi="Calibri"/>
          <w:b/>
          <w:color w:val="4A6B25"/>
          <w:sz w:val="15"/>
        </w:rPr>
        <w:t xml:space="preserve">3. </w:t>
      </w:r>
      <w:r>
        <w:rPr>
          <w:rFonts w:ascii="Calibri" w:hAnsi="Calibri"/>
          <w:b w:val="0"/>
          <w:color w:val="3A4A28"/>
          <w:sz w:val="17"/>
        </w:rPr>
        <w:t>Acadia Healthcare Legal Settlements &amp; Controversies — $179M securities fraud settlement, $400M patient sexual abuse settlement (2023), $105M wrongful termination verdict, $19.85M DOJ billing fraud settlement, DOJ/SEC investigations, May 2026 data breach, New York Times expose — BHB Business, Robbins Geller, DOJ, Cohen &amp; Malad,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ACHC Key Statistics: Forward P/E 18.17x, D/E 136%, ROE 6.2%, Profit Margin -32.84% (TTM), Stock Price $27.69, Avg Volume 3.15M,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