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ACMR</w:t>
      </w:r>
      <w:r>
        <w:rPr>
          <w:rFonts w:ascii="Calibri" w:hAnsi="Calibri"/>
          <w:b/>
          <w:color w:val="1A2010"/>
          <w:sz w:val="40"/>
        </w:rPr>
        <w:t xml:space="preserve">  ACM Research, Inc.</w:t>
      </w:r>
    </w:p>
    <w:p>
      <w:pPr>
        <w:spacing w:after="120"/>
      </w:pPr>
      <w:r>
        <w:rPr>
          <w:rFonts w:ascii="Calibri" w:hAnsi="Calibri"/>
          <w:b/>
          <w:color w:val="6E8450"/>
          <w:sz w:val="18"/>
        </w:rPr>
        <w:t>GROWTH SLEEVE · 2026-09-19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ACM Research develops, manufactures, and sells single-wafer wet cleaning equipment and other semiconductor process tools. Products include SAPS, TEBO, and Ultra C cleaning tools, electrochemical plating (ECP) systems, ACM Planetary furnace family, and advanced packaging equipment. Founded by Dr. David Wang in 1998, headquartered in Fremont, California with principal operations through subsidiary ACM Research (Shanghai). Q2 2026 delivered $292.9M revenue (up 36% YoY) with ECP and advanced packaging revenue each up over 150%. FY2026 guidance raised to $1.125B-$1.175B (25-30% growth). ACM Shanghai and ACM Korea remain on the BIS Entity List since December 2024.</w:t>
      </w:r>
    </w:p>
    <w:p>
      <w:r>
        <w:rPr>
          <w:rFonts w:ascii="Calibri" w:hAnsi="Calibri"/>
          <w:b/>
          <w:color w:val="6E8450"/>
          <w:sz w:val="18"/>
        </w:rPr>
        <w:t>2,600 Employees · https://www.acmr.com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ACM Research has grown revenue from ~$133M in 2020 to an annualized ~$1.17B run rate (Q2 2026 $292.9M quarterly), successfully expanding from single-wafer cleaning into ECP (up 167.7% YoY in Q2 to $128.5M), ACM Planetary furnace, and advanced packaging (up 153.3% to $31.4M) [1]. The product diversification is validated by H1 2026 orders increasing 105% YoY across all categories [1]. AI Deployment (1/2): ACM's Ultra ECP ap-p tool supports advanced fan-out panel-level packaging (FOPLP) with submicron features for AI chip applications, and cleaning equipment enables AI accelerator manufacturing at advanced nodes requiring tighter contamination control [2]. Market Share (2/2): ACM Research is the leading single-wafer wet cleaning equipment provider in China with significant share gains from incumbents Tokyo Electron and SCREEN, directly benefiting from China's domestic semiconductor equipment localization push accelerated by U.S. export controls [3]. Product Pipeline (2/2): FY2026 guidance raised to $1.125B-$1.175B (25-30% growth) driven by ACM Planetary furnace, Ultra C Tahoe (75% chemical reduction), and advanced packaging ramp [1]. ECP revenue surging to 43.9% of Q2 sales validates the multi-product strategy. R&amp;D Intensity (1/1): R&amp;D at 16-18% of sales exceeds semiconductor equipment industry average (~13-15% for Applied Materials, Lam, TEL), and founder Dr. Wang holds 100+ patents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ACM Research's purpose — enabling advanced semiconductor manufacturing through innovative and cost-effective equipment solutions — is clear and identifies both what the company does and for whom, but is operationally focused and interchangeable with most semiconductor equipment peers [2]. It does not articulate a deeper purpose or vision of a future state beyond the industry. Community Impact (1/2): ACM's Ultra C Tahoe achieves 75% chemical reduction and Frame Wafer enables ~100% solvent recovery, demonstrating meaningful environmental innovation in product design [2]. ACM Shanghai reported a 30% reduction in energy consumption and launched an equipment recycling program. Employee Retention (0/2): Limited public data for ACM's ~2,600 employees. Insufficient Glassdoor reviews or retention metrics to score. Rapid scaling likely creates organizational growing pains. Insider Buying (0/2): Net insider selling remains significant — CEO David Wang has executed multiple sales under a pre-arranged 10b5-1 plan, creating a disconnect between public guidance of 25-30% growth and personal capital allocation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formula. ACM Research's balance sheet remains pristine with D/E of just 14.5%, reflecting conservative financial management [5]. Q2 2026 delivered $292.9M revenue (up 36% YoY), beating estimates by 9.2%, with EPS of $0.61 beating consensus by $0.31 [1]. Gross margin held strong at 46%. FY2026 guidance was raised to $1.125B-$1.175B (25-30% growth at midpoint), and H1 2026 orders surged 105% YoY. Profit margin improved significantly to 14.48% (up from 9.5% in Q1 2026), reflecting operating leverage as revenue scales [5]. ROE of 11.63% is below the 15% target but improving as profitability expands. Forward P/E of 23.68 is slightly above the 20 target. Five-year revenue CAGR of ~46% is exceptional. Infrastructure = (1x1.0 + 2x0.78 + 1x1.0 + 2x1.0 + 1x0.91 + 1x0.72 + 2x1.0) / 10 x 10 = 9.2, rounded to 9 [5]. Daily dollar volume of ~$79.5M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ACM Research under founder-CEO Dr. David Wang shows strong founder-driven long-term orientation with a 28-year track record of building the company from a small cleaning equipment startup to a $1.1B+ revenue global semiconductor equipment provider. The consistent investment in new product development (furnace, ECP, advanced packaging) and geographic expansion reflects infinite game thinking. However, heavy insider selling by the CEO and a competitive strategy primarily framed around displacing incumbents in a geopolitically advantaged position introduce finite-game concerns.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ACM Research's purpose — enabling advanced semiconductor manufacturing through innovative process solutions — is functional and industry-appropriate but lacks a vision of a better future beyond operational excellence in wafer cleaning [2]. Founder Dr. Wang's 100+ patents and 28-year commitment demonstrate genuine passion for the technology, but the company's articulated mission doesn't inspire beyond the immediate industry context.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maintains a stable leadership team with founder Wang providing continuity since 1998. At ~2,600 employees, the organization is small enough for relatively direct leadership engagement. However, insufficient public data on employee satisfaction prevents a higher score. Rapid headcount growth required to support the revenue ramp from $133M to $1.1B+ in six years likely creates organizational growing pains and cultural challenges across the Fremont-Shanghai dual headquarters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ACM Research's competitive positioning is primarily framed around displacing incumbent Western competitors — Tokyo Electron, SCREEN, Lam Research, and Applied Materials — rather than learning from their strengths [3]. The company benefits from geopolitical dynamics that force Chinese fabs to choose domestic suppliers, which is a market access advantage rather than a competitive improvement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ACM Research has expanded from a single-product cleaning equipment company into a multi-product platform spanning wet cleaning, ECP (up 167.7% YoY), furnace, and advanced packaging (up 153.3%) [1]. Geographic expansion from China-only to global customers (Samsung, SK Hynix, European fabs) represents meaningful evolution. These moves show consistent adaptation but are incremental extensions of semiconductor equipment expertise rather than transformative pivots.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Founder Dr. David Wang has demonstrated remarkable long-term commitment — building ACM Research over 28 years, investing in proprietary SAPS and TEBO cleaning technologies years before market validation [2]. The decision to maintain and grow the Shanghai subsidiary despite being added to the BIS Entity List in December 2024 shows willingness to stay the course through existential geopolitical risk [3]. Expanding into entirely new product categories (furnace revenue now 43.9% of Q2 sales via ECP and furnace combined) while scaling the core demonstrates investing in future capability at the expense of near-term simplicity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ACM Research is a high-growth semiconductor equipment company riding dual tailwinds of China's domestic chip localization and global AI-driven capacity expansion. Q2 2026 delivered $292.9M revenue (up 36% YoY, beating estimates by 9.2%) with EPS of $0.61 (beating by $0.31), powered by ECP revenue surging 167.7% and advanced packaging up 153.3% [1]. Management raised FY2026 guidance to $1.125B-$1.175B (25-30% growth) with H1 orders up 105% YoY providing strong forward visibility. The balance sheet is pristine (D/E 14.5%), profit margin has expanded to 14.48% from 9.5% a quarter ago, and the 5yr revenue CAGR of ~46% is exceptional [5]. At Forward P/E of 23.68 and estimated PEG of ~0.80, the stock is reasonably valued for a company delivering 36% revenue growth with accelerating profitability. R&amp;D intensity of 16-18% and Dr. Wang's 100+ patents provide a deep innovation moat [2].</w:t>
      </w:r>
    </w:p>
    <w:p>
      <w:pPr>
        <w:spacing w:after="120"/>
      </w:pPr>
      <w:r>
        <w:rPr>
          <w:rFonts w:ascii="Calibri" w:hAnsi="Calibri"/>
          <w:b w:val="0"/>
          <w:color w:val="3A4A28"/>
          <w:sz w:val="20"/>
        </w:rPr>
        <w:t>The bear case centers on existential geopolitical risk and insider selling. ACM Research generates the majority of revenue through its Shanghai subsidiary serving Chinese semiconductor fabs, and ACM Shanghai and ACM Korea remain on the BIS Entity List since December 2024, restricting access to U.S. export-controlled items [3]. Escalating U.S.-China restrictions could limit the company's ability to serve advanced-node customers or restrict component sourcing, threatening the core growth thesis. CEO Wang's continued insider selling under a 10b5-1 plan creates a material disconnect between public guidance of 25-30% growth and personal capital decisions [4]. The stock has declined from $79 to $68.51 despite strong Q2 results, suggesting the market is pricing in geopolitical risk premium [5]. ROE of 11.63% and forward PE of 23.68 are slightly below and above their respective targets. Competition from established Western incumbents and emerging Chinese competitors could pressure share gains as the geopolitical landscape evolves.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raised to $1.125B-$1.175B (25-30% growth) with H1 2026 orders up 105% YoY spanning all product categories, indicating broadening demand beyond cleaning into ECP, furnace, and advanced packaging [1]</w:t>
      </w:r>
    </w:p>
    <w:p>
      <w:pPr>
        <w:spacing w:before="40" w:after="40"/>
        <w:ind w:left="283"/>
      </w:pPr>
      <w:r>
        <w:rPr>
          <w:rFonts w:ascii="Calibri" w:hAnsi="Calibri"/>
          <w:b/>
          <w:color w:val="4A6B25"/>
          <w:sz w:val="20"/>
        </w:rPr>
        <w:t xml:space="preserve">2. </w:t>
      </w:r>
      <w:r>
        <w:rPr>
          <w:rFonts w:ascii="Calibri" w:hAnsi="Calibri"/>
          <w:b w:val="0"/>
          <w:color w:val="3A4A28"/>
          <w:sz w:val="20"/>
        </w:rPr>
        <w:t>China semiconductor localization acceleration — domestic fabs expanding capacity under government support create captive demand for ACM's equipment as Western alternatives face export restrictions, with ECP and furnace products diversifying the revenue base [1][3]</w:t>
      </w:r>
    </w:p>
    <w:p>
      <w:pPr>
        <w:spacing w:before="40" w:after="40"/>
        <w:ind w:left="283"/>
      </w:pPr>
      <w:r>
        <w:rPr>
          <w:rFonts w:ascii="Calibri" w:hAnsi="Calibri"/>
          <w:b/>
          <w:color w:val="4A6B25"/>
          <w:sz w:val="20"/>
        </w:rPr>
        <w:t xml:space="preserve">3. </w:t>
      </w:r>
      <w:r>
        <w:rPr>
          <w:rFonts w:ascii="Calibri" w:hAnsi="Calibri"/>
          <w:b w:val="0"/>
          <w:color w:val="3A4A28"/>
          <w:sz w:val="20"/>
        </w:rPr>
        <w:t>Advanced packaging and AI chip demand — Ultra ECP ap-p for FOPLP with submicron features positions ACM to capture growing AI chip packaging spend, with Q2 advanced packaging revenue already surging 153.3% to $31.4M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Geopolitical risk — BIS Entity List designation of ACM Shanghai and ACM Korea since December 2024 restricts access to U.S. export-controlled items, and further U.S.-China tech escalation could fundamentally threaten the China revenue base that drives the growth thesis [3]</w:t>
      </w:r>
    </w:p>
    <w:p>
      <w:pPr>
        <w:spacing w:before="40" w:after="40"/>
        <w:ind w:left="283"/>
      </w:pPr>
      <w:r>
        <w:rPr>
          <w:rFonts w:ascii="Calibri" w:hAnsi="Calibri"/>
          <w:b/>
          <w:color w:val="4A6B25"/>
          <w:sz w:val="20"/>
        </w:rPr>
        <w:t xml:space="preserve">2. </w:t>
      </w:r>
      <w:r>
        <w:rPr>
          <w:rFonts w:ascii="Calibri" w:hAnsi="Calibri"/>
          <w:b w:val="0"/>
          <w:color w:val="3A4A28"/>
          <w:sz w:val="20"/>
        </w:rPr>
        <w:t>CEO David Wang's continued insider selling under a pre-arranged 10b5-1 plan creates a material disconnect between publicly guided 25-30% growth and personal capital allocation, undermining the conviction signal for long-term investors [4]</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in Chinese semiconductor fabs creates geographic and political risk — any slowdown in China's semiconductor investment cycle or increased competition from domestic Chinese equipment startups could impair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ACM Research manufactures the physical semiconductor equipment required to produce AI chips — wafer cleaning tools are essential in every advanced fabrication process, and AI accelerator manufacturing at advanced nodes requires more cleaning steps with tighter contamination control [1][2]. AI structurally increases demand for semiconductor manufacturing capacity, which directly increases demand for ACM's equipment. China's push for domestic AI chip capability under export restrictions from Western equipment suppliers specifically benefits ACM as a domestically available alternative [3]. The primary risk is geopolitical, not AI-related — the BIS Entity List addition of ACM Shanghai and ACM Korea could restrict component sourcing. AI Opportunity (1/1): ACM's products directly enable AI chip manufacturing through advanced packaging (FOPLP) with submicron features and ultra-clean wafer processing. Q2 2026 advanced packaging revenue surged 153.3% to $31.4M, driven partly by AI chip demand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ACM Research Q2 2026 Earnings Release — Revenue $292.9M (up 36% YoY), EPS $0.61 (beat by $0.31), Gross Margin 46%, ECP Revenue Up 167.7%, Advanced Packaging Up 153.3%, FY2026 Guidance Raised to $1.125B-$1.175B, H1 Orders Up 105% YoY, August 2026</w:t>
      </w:r>
    </w:p>
    <w:p>
      <w:pPr>
        <w:spacing w:before="20" w:after="20"/>
        <w:ind w:left="170"/>
      </w:pPr>
      <w:r>
        <w:rPr>
          <w:rFonts w:ascii="Calibri" w:hAnsi="Calibri"/>
          <w:b/>
          <w:color w:val="4A6B25"/>
          <w:sz w:val="15"/>
        </w:rPr>
        <w:t xml:space="preserve">2. </w:t>
      </w:r>
      <w:r>
        <w:rPr>
          <w:rFonts w:ascii="Calibri" w:hAnsi="Calibri"/>
          <w:b w:val="0"/>
          <w:color w:val="3A4A28"/>
          <w:sz w:val="17"/>
        </w:rPr>
        <w:t>ACM Research Product Innovation — Ultra ECP ap-p for AI FOPLP, Ultra C Tahoe 75% Chemical Reduction, Frame Wafer ~100% Solvent Recovery, R&amp;D 16-18% of Sales, Dr. Wang 100+ Patents,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ACM Research Geopolitical Risk — ACM Shanghai and ACM Korea on BIS Entity List Since December 2024, China Semiconductor Localization Dynamics, ir.acmr.com and Analyst Coverage,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David Wang Insider Transactions — Continued Sales Under Pre-Arranged 10b5-1 Plan, QuiverQuantitative / Investing.com,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ACMR Key Statistics: Price $68.51, Forward P/E 23.68, D/E 14.5%, ROE 11.63%, Profit Margin 14.48%,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