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ACM</w:t>
      </w:r>
      <w:r>
        <w:rPr>
          <w:rFonts w:ascii="Calibri" w:hAnsi="Calibri"/>
          <w:b/>
          <w:color w:val="1A2010"/>
          <w:sz w:val="40"/>
        </w:rPr>
        <w:t xml:space="preserve">  AECOM</w:t>
      </w:r>
    </w:p>
    <w:p>
      <w:pPr>
        <w:spacing w:after="120"/>
      </w:pPr>
      <w:r>
        <w:rPr>
          <w:rFonts w:ascii="Calibri" w:hAnsi="Calibri"/>
          <w:b/>
          <w:color w:val="6E8450"/>
          <w:sz w:val="18"/>
        </w:rPr>
        <w:t>GROWTH SLEEVE · 2026-09-19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Engineering &amp; Construction · NYSE · United States</w:t>
      </w:r>
    </w:p>
    <w:p>
      <w:pPr>
        <w:spacing w:after="80"/>
      </w:pPr>
      <w:r>
        <w:rPr>
          <w:rFonts w:ascii="Calibri" w:hAnsi="Calibri"/>
          <w:b w:val="0"/>
          <w:color w:val="3A4A28"/>
          <w:sz w:val="20"/>
        </w:rPr>
        <w:t>AECOM is a global infrastructure consulting firm providing planning, consulting, architectural and engineering design, construction management, and program management services. Under CEO Troy Rudd's Think and Act Globally strategy, the company has refocused on higher-margin professional services and advisory, exiting construction management. Serves transportation, water, environment, energy, and facilities markets worldwide. Q3 FY2026 reported revenue of $3.59B impacted by a $337M Construction Management charge from a delayed legacy project; excluding the charge, adjusted EBITDA margin reached 17.4% with adjusted EPS of $1.49 (up 11% YoY). Long-term guidance reaffirmed: 5-8% organic growth, 20%+ margin by FY2028, 15%+ EPS CAGR through FY2029.</w:t>
      </w:r>
    </w:p>
    <w:p>
      <w:r>
        <w:rPr>
          <w:rFonts w:ascii="Calibri" w:hAnsi="Calibri"/>
          <w:b/>
          <w:color w:val="6E8450"/>
          <w:sz w:val="18"/>
        </w:rPr>
        <w:t>52,000 Employees · https://www.aecom.com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Troy Rudd's transformation since 2020 from a construction-heavy conglomerate to a focused professional services firm represents a significant strategic pivot — divesting management services and self-perform construction to concentrate on higher-margin advisory and design [1][2]. The strategy is validated by record adjusted EBITDA margins of 17.4% in Q3 FY2026 (excluding the $337M CM charge) and a 15%+ EPS CAGR target through FY2029. However, the Q3 $337M charge on a delayed Construction Management project reveals the divestiture of legacy construction risk remains incomplete [1]. AI Deployment (1/2): AECOM has developed proprietary 'AECOM AI' capabilities and partnered with SMU to invest in AI in infrastructure talent [3]. The company is designing major AI infrastructure projects including data center campuses in Europe. No specific revenue or cost-savings figures from internal AI deployment were disclosed. Market Share (2/2): AECOM consistently ranks #1 on Engineering News-Record's Top 500 Design Firms list, with dominant positions in transportation, water, and environmental design and a strong backlog with sustained book-to-burn ratios above 1.0 for consecutive quarters [1]. Product Pipeline (1/2): FY2026 adjusted guidance of $5.90-$6.10 EPS (excluding the charge) with NSR guidance of $7.65-$7.70B and 17.4% EBITDA margin target provides strong visibility, but specific next-gen service offerings are limited for a professional services firm [1]. R&amp;D Intensity (0/1): Professional services firms do not have traditional R&amp;D spending; innovation occurs through delivery methodology and AECOM AI adoption.</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AECOM's Sustainable Legacies strategy represents a specific and thoughtful articulation of purpose — using infrastructure expertise to create lasting positive environmental and social impact [4]. The commitment to SBTi-approved net-zero targets (among the first globally in E&amp;C) connects daily work to climate action and differentiates from most peers. Community Impact (1/2): AECOM's infrastructure work inherently creates community impact through transportation, water systems, and environmental remediation projects. The Sustainable Legacies strategy includes community engagement programs, and ESG governance is embedded in board-level oversight through the Nominating and Corporate Governance Committee [4]. Employee Retention (1/2): Glassdoor rating of 3.6/5 across 11,000+ reviews is average for a large engineering services firm. 'Leadership at All Levels' development programs are cited as positives, but cultural integration challenges from AECOM's acquisition-driven growth history persist. No evidence of above-average voluntary turnover for a 52,000-person organization [3]. Insider Buying (0/2): Net insider selling over the past 12 months — COO Poloni executed $4.3M+ in sales with no meaningful net insider buying by executives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growth stock formula. AECOM's Forward P/E of 9.69 and estimated PEG of ~0.69 represent exceptional value for a company guiding 14% adjusted EPS growth and 15%+ EPS CAGR through FY2029 [5]. ROE of 16.6% meets the 15% target. However, Q3 FY2026 was heavily impacted by a $337M Construction Management charge on a delayed legacy project, driving reported revenue down 14.2% YoY and compressing reported profit margin to 1.87% [1][5]. D/E of 138.9% is elevated but scores 0.70 on the linear scale. Revenue Growth 5yr CAGR of ~4% on total revenue understates NSR growth quality. Reported infrastructure score = (1x0.70 + 2x1.0 + 1x0.19 + 2x0.60 + 1x1.0 + 1x0.09 + 2x1.0) / 10 x 10 = 7.2, rounded to 7. Excluding the charge, underlying operating performance is strong: adjusted EBITDA margin 17.4% (raised from 17.0%), adjusted EPS $1.49 (up 11% YoY) [1]. Daily dollar volume of ~$124.7M easily clears the liquidity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AECOM under Troy Rudd shows meaningful infinite game characteristics — the divestiture of profitable construction businesses to focus on higher-margin advisory reflects willingness to sacrifice near-term revenue for long-term positioning, and the Sustainable Legacies strategy connects daily work to genuine societal purpose [4]. However, the Q3 FY2026 $337M Construction Management charge reveals legacy risk has not been fully excised, and the company's relatively short track record under the current strategy (since 2020) means the infinite game credentials are being established, not yet proven through multiple cycles. Long-term guidance reaffirmation (5-8% organic growth, 20%+ margins by FY2028) signals strategic patience.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AECOM's purpose of 'delivering a better world' through infrastructure, formalized in the Sustainable Legacies strategy, connects technical expertise to genuine societal benefit — clean water, resilient transportation, sustainable energy systems [4]. Troy Rudd has aligned the Think and Act Globally strategy around this purpose since 2020, and SBTi-approved net-zero targets validate commitment. However, the cause has been articulated only since 2020 and hasn't survived a true existential test or multi-decade consistency.</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AECOM's 'Leadership at All Levels' development programs and Glassdoor rating of 3.6/5 suggest an adequate-trust organization without major cultural red flags [3]. Leadership continuity under Rudd since 2020 provides stability, and the expanded leadership structure for U.S. East &amp; Latin America and U.S. West regions shows organizational investment in distributed leadership. However, cultural integration challenges from the acquisition-driven growth history persist.</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AECOM's strategic focus on 'winning the right work' — high-margin, design-led projects — rather than pursuing all revenue reflects a learning-oriented competitive approach [1]. Management acknowledges competitive strengths of Jacobs, WSP Global, and Arcadis in specific markets and uses these rivalries to drive margin improvement and service quality. The company frames competition as motivation for self-improvement rather than market share maximization.</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AECOM's pivot from construction-heavy conglomerate to focused professional services and advisory represents meaningful strategic evolution — shedding lower-margin, higher-risk business lines to create a more resilient model [1]. The company has adapted to sustainability-driven infrastructure demand and AI data center design opportunities. However, the Q3 $337M charge reveals that the pivot from construction is still incomplete, and the changes were incremental over several years rather than a single transformative moment.</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Troy Rudd's decision to divest AECOM's construction management and self-perform businesses — walking away from billions in revenue — to focus on higher-margin professional services demonstrates genuine courage and long-term thinking [1]. The commitment to 20%+ margins by FY2028 and refusal to chase low-margin construction revenue shows quality-over-size prioritization. The Q3 $337M charge on a legacy CM project, while painful, reflects the ongoing cost of the strategic transition rather than a failure of courage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AECOM is executing a compelling professional services transformation and trades at a significant valuation discount following the Q3 FY2026 $337M Construction Management charge. At Forward P/E of 9.69x and PEG of ~0.69, the stock is deeply discounted relative to professional services peers like Jacobs (~14x) and WSP (20x+) despite reaffirmed long-term guidance of 5-8% organic growth, 20%+ margins by FY2028, and 15%+ EPS CAGR through FY2029 [1][5]. Excluding the one-time charge, Q3 delivered adjusted EBITDA margin of 17.4% (raised from 17.0%), adjusted EPS of $1.49 (up 11%), and NSR of $1.95B — the underlying business is performing well. Secular tailwinds from IIJA infrastructure spending, energy transition, and AI data center construction provide multi-year demand visibility. AECOM AI and the SMU partnership position the company to capture AI-driven infrastructure design demand [3].</w:t>
      </w:r>
    </w:p>
    <w:p>
      <w:pPr>
        <w:spacing w:after="120"/>
      </w:pPr>
      <w:r>
        <w:rPr>
          <w:rFonts w:ascii="Calibri" w:hAnsi="Calibri"/>
          <w:b w:val="0"/>
          <w:color w:val="3A4A28"/>
          <w:sz w:val="20"/>
        </w:rPr>
        <w:t>The bear case centers on the $337M Q3 Construction Management charge, which exposed that AECOM's exit from legacy construction is incomplete and carries residual tail risk [1]. Reported revenue declined 14.2% YoY and profit margin compressed to 1.87%, temporarily destroying the margin expansion narrative even as adjusted metrics improved. D/E of 138.9% is elevated for a professional services firm and limits capital allocation flexibility during a period when the stock has declined from $71 to $62 [5]. Revenue Growth 5yr CAGR of ~4% on total revenue understates NSR growth quality but creates headwinds in quantitative screening. Net insider selling by COO Poloni ($4.3M+) weakens the conviction signal. Post-IIJA infrastructure spending deceleration after 2028 could compress the secular growth tailwind, and government budget pressures from deficit reduction may slow project awards. The FY2026 reported EPS guidance of $3.95-$4.15 (including the charge) versus adjusted $5.90-$6.10 creates investor confusion about the true earnings power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Valuation re-rating as the market digests the one-time $337M CM charge and refocuses on adjusted fundamentals — Forward P/E of 9.69x for a company guiding 15%+ EPS CAGR through FY2029 is significantly below professional services peers [1][5]</w:t>
      </w:r>
    </w:p>
    <w:p>
      <w:pPr>
        <w:spacing w:before="40" w:after="40"/>
        <w:ind w:left="283"/>
      </w:pPr>
      <w:r>
        <w:rPr>
          <w:rFonts w:ascii="Calibri" w:hAnsi="Calibri"/>
          <w:b/>
          <w:color w:val="4A6B25"/>
          <w:sz w:val="20"/>
        </w:rPr>
        <w:t xml:space="preserve">2. </w:t>
      </w:r>
      <w:r>
        <w:rPr>
          <w:rFonts w:ascii="Calibri" w:hAnsi="Calibri"/>
          <w:b w:val="0"/>
          <w:color w:val="3A4A28"/>
          <w:sz w:val="20"/>
        </w:rPr>
        <w:t>AECOM AI-driven margin expansion toward 20%+ by FY2028 as proprietary AI capabilities automate lower-value design tasks and shift mix toward higher-margin consulting, with EBITDA margin already at 17.4% [1][3]</w:t>
      </w:r>
    </w:p>
    <w:p>
      <w:pPr>
        <w:spacing w:before="40" w:after="40"/>
        <w:ind w:left="283"/>
      </w:pPr>
      <w:r>
        <w:rPr>
          <w:rFonts w:ascii="Calibri" w:hAnsi="Calibri"/>
          <w:b/>
          <w:color w:val="4A6B25"/>
          <w:sz w:val="20"/>
        </w:rPr>
        <w:t xml:space="preserve">3. </w:t>
      </w:r>
      <w:r>
        <w:rPr>
          <w:rFonts w:ascii="Calibri" w:hAnsi="Calibri"/>
          <w:b w:val="0"/>
          <w:color w:val="3A4A28"/>
          <w:sz w:val="20"/>
        </w:rPr>
        <w:t>AI data center construction boom creating a multi-year demand pipeline — AECOM is designing major campus projects and partnered with SMU to develop AI infrastructure talent, positioning for every hyperscaler expansion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Legacy Construction Management tail risk — the $337M Q3 charge on a delayed project reveals that AECOM's construction exit is incomplete and additional charges could surface from legacy contracts, further depressing reported earnings and investor confidence [1]</w:t>
      </w:r>
    </w:p>
    <w:p>
      <w:pPr>
        <w:spacing w:before="40" w:after="40"/>
        <w:ind w:left="283"/>
      </w:pPr>
      <w:r>
        <w:rPr>
          <w:rFonts w:ascii="Calibri" w:hAnsi="Calibri"/>
          <w:b/>
          <w:color w:val="4A6B25"/>
          <w:sz w:val="20"/>
        </w:rPr>
        <w:t xml:space="preserve">2. </w:t>
      </w:r>
      <w:r>
        <w:rPr>
          <w:rFonts w:ascii="Calibri" w:hAnsi="Calibri"/>
          <w:b w:val="0"/>
          <w:color w:val="3A4A28"/>
          <w:sz w:val="20"/>
        </w:rPr>
        <w:t>Reported profit margin of 1.87% and -14.2% revenue growth make AECOM screen poorly on quantitative metrics despite strong adjusted performance, potentially limiting institutional buying interest until reported and adjusted metrics converge [5]</w:t>
      </w:r>
    </w:p>
    <w:p>
      <w:pPr>
        <w:spacing w:before="40" w:after="40"/>
        <w:ind w:left="283"/>
      </w:pPr>
      <w:r>
        <w:rPr>
          <w:rFonts w:ascii="Calibri" w:hAnsi="Calibri"/>
          <w:b/>
          <w:color w:val="4A6B25"/>
          <w:sz w:val="20"/>
        </w:rPr>
        <w:t xml:space="preserve">3. </w:t>
      </w:r>
      <w:r>
        <w:rPr>
          <w:rFonts w:ascii="Calibri" w:hAnsi="Calibri"/>
          <w:b w:val="0"/>
          <w:color w:val="3A4A28"/>
          <w:sz w:val="20"/>
        </w:rPr>
        <w:t>D/E of 138.9% and net insider selling limit financial flexibility and weaken the conviction signal during a period of stock price decline and elevated market uncertainty about infrastructure spending sustainability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AECOM's core business — physical infrastructure design, environmental engineering, regulatory permitting, and construction management advisory — involves deeply regulated processes, site-specific inspections, and complex stakeholder management that AI structurally cannot displace [1][3]. Infrastructure spending is increasing secularly (IIJA, CHIPS Act, global energy transition), and AI data center construction is directly additive to AECOM's pipeline — the company is designing major data center campuses and benefits from every hyperscaler expansion. AECOM's partnership with SMU to develop AI in infrastructure talent reflects proactive AI adoption [3]. Some CAD/BIM design and structural analysis work faces partial automation risk, preventing an IMMUNE score, but the complex engineering judgment, permitting expertise, and client relationships that define AECOM's value are structurally defensible. AI Opportunity (1/1): AECOM generates revenue from AI-related infrastructure design (data centers, power systems for AI compute) and deploys proprietary 'AECOM AI' internally to drive margin expansion toward 20%+ by FY2028, with the raised EBITDA margin target of 17.4% partly attributable to AI-driven efficiency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AECOM Q3 FY2026 Earnings Release — Revenue $3.59B (down 14% YoY), $337M Construction Management Charge, Adjusted EBITDA Margin 17.4% (raised), Adjusted EPS $1.49 (up 11%), FY2026 Adjusted EPS Guidance $5.90-$6.10, August 2026</w:t>
      </w:r>
    </w:p>
    <w:p>
      <w:pPr>
        <w:spacing w:before="20" w:after="20"/>
        <w:ind w:left="170"/>
      </w:pPr>
      <w:r>
        <w:rPr>
          <w:rFonts w:ascii="Calibri" w:hAnsi="Calibri"/>
          <w:b/>
          <w:color w:val="4A6B25"/>
          <w:sz w:val="15"/>
        </w:rPr>
        <w:t xml:space="preserve">2. </w:t>
      </w:r>
      <w:r>
        <w:rPr>
          <w:rFonts w:ascii="Calibri" w:hAnsi="Calibri"/>
          <w:b w:val="0"/>
          <w:color w:val="3A4A28"/>
          <w:sz w:val="17"/>
        </w:rPr>
        <w:t>AECOM Q2 FY2026 Earnings Release — Record 16.5% Adjusted EBITDA Margin, $26.2B Record Backlog, 1.5x Book-to-Burn, FY2026 Guidance Raised, May 2026</w:t>
      </w:r>
    </w:p>
    <w:p>
      <w:pPr>
        <w:spacing w:before="20" w:after="20"/>
        <w:ind w:left="170"/>
      </w:pPr>
      <w:r>
        <w:rPr>
          <w:rFonts w:ascii="Calibri" w:hAnsi="Calibri"/>
          <w:b/>
          <w:color w:val="4A6B25"/>
          <w:sz w:val="15"/>
        </w:rPr>
        <w:t xml:space="preserve">3. </w:t>
      </w:r>
      <w:r>
        <w:rPr>
          <w:rFonts w:ascii="Calibri" w:hAnsi="Calibri"/>
          <w:b w:val="0"/>
          <w:color w:val="3A4A28"/>
          <w:sz w:val="17"/>
        </w:rPr>
        <w:t>AECOM AI Strategy, SMU Partnership, Leadership Appointments, and Data Center Design — aecom.com Press Releases, 2025-2026</w:t>
      </w:r>
    </w:p>
    <w:p>
      <w:pPr>
        <w:spacing w:before="20" w:after="20"/>
        <w:ind w:left="170"/>
      </w:pPr>
      <w:r>
        <w:rPr>
          <w:rFonts w:ascii="Calibri" w:hAnsi="Calibri"/>
          <w:b/>
          <w:color w:val="4A6B25"/>
          <w:sz w:val="15"/>
        </w:rPr>
        <w:t xml:space="preserve">4. </w:t>
      </w:r>
      <w:r>
        <w:rPr>
          <w:rFonts w:ascii="Calibri" w:hAnsi="Calibri"/>
          <w:b w:val="0"/>
          <w:color w:val="3A4A28"/>
          <w:sz w:val="17"/>
        </w:rPr>
        <w:t>AECOM Sustainable Legacies ESG Strategy — SBTi-Approved Net-Zero Targets, Board-Level ESG Governance, aecom.com,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StockAnalysis — ACM Key Statistics: Price $61.99, Forward P/E 9.69, D/E 138.9%, ROE 16.6%, Profit Margin 1.87%,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