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ADBE</w:t>
      </w:r>
      <w:r>
        <w:rPr>
          <w:rFonts w:ascii="Calibri" w:hAnsi="Calibri"/>
          <w:b/>
          <w:color w:val="1A2010"/>
          <w:sz w:val="40"/>
        </w:rPr>
        <w:t xml:space="preserve">  Adobe Inc.</w:t>
      </w:r>
    </w:p>
    <w:p>
      <w:pPr>
        <w:spacing w:after="120"/>
      </w:pPr>
      <w:r>
        <w:rPr>
          <w:rFonts w:ascii="Calibri" w:hAnsi="Calibri"/>
          <w:b/>
          <w:color w:val="6E8450"/>
          <w:sz w:val="18"/>
        </w:rPr>
        <w:t>GROWTH SLEEVE · 2026-10-17 · Inspire: -67 · INFINITE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NMS · United States</w:t>
      </w:r>
    </w:p>
    <w:p>
      <w:pPr>
        <w:spacing w:after="80"/>
      </w:pPr>
      <w:r>
        <w:rPr>
          <w:rFonts w:ascii="Calibri" w:hAnsi="Calibri"/>
          <w:b w:val="0"/>
          <w:color w:val="3A4A28"/>
          <w:sz w:val="20"/>
        </w:rPr>
        <w:t>Adobe is the global leader in creative, document, and experience cloud software, serving over 1 billion monthly active users through Creative Cloud (Photoshop, Illustrator, Premiere Pro), Document Cloud (Acrobat/PDF), and Experience Cloud. The company is integrating generative AI (Adobe Firefly) across its product suite, with AI-first ARR growing 150%+ YoY. Q3 FY2026 delivered record revenue of $6.76B (up 13% YoY) with raised full-year guidance to $26.58-26.63B. CEO Shantanu Narayen has announced plans to step down after leading the company since 2007.</w:t>
      </w:r>
    </w:p>
    <w:p>
      <w:r>
        <w:rPr>
          <w:rFonts w:ascii="Calibri" w:hAnsi="Calibri"/>
          <w:b/>
          <w:color w:val="6E8450"/>
          <w:sz w:val="18"/>
        </w:rPr>
        <w:t>31,360 Employees · https://www.adobe.com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Adobe executed one of software history's most successful business model transformations — perpetual licenses to cloud subscriptions starting 2013 — and more recently launched Firefly generative AI (2023), now integrated across Photoshop, Illustrator, Premiere Pro, and Experience Cloud, with AI-first ARR growing 150%+ YoY [1]. The company reached 1 billion monthly active users in Q3 FY2026, a milestone validating the freemium expansion strategy. The failed $20B Figma acquisition (abandoned 2023) represents a notable strategic miss. AI Deployment (2/2): Adobe Firefly is shipping at scale with quantifiable commercial impact — AI-first ARR tripling, Firefly traffic up 30% QoQ, and Firefly AI Assistant launched in public beta with expanded mobile deployment [1][2]. Billions of images generated commercially through Firefly, trained on Adobe Stock's proprietary licensed dataset. Market Share (2/2): Adobe holds dominant market share in professional creative software — Photoshop, Illustrator, Premiere Pro, and After Effects remain industry standards with &gt;60% share in professional creative tools. Acrobat/PDF is effectively a monopoly. Experience Cloud is a top-3 marketing technology platform. Total ending ARR reached $27.5B in Q3 FY2026 [1]. Product Pipeline (1/2): Firefly model expansion, AI-powered video generation, Firefly Foundry AI toolkit, AI agents for creative workflows, and mobile Firefly deployment — but specific next-gen products with named launch dates and revenue visibility are limited beyond incremental AI feature releases [2]. R&amp;D Intensity (1/1): Adobe invests approximately $3.4B annually in R&amp;D (~14% of revenue), above the software industry average, reflecting heavy investment in generative AI, foundation models, and the HUMAIN strategic alliance for AI model development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Adobe's purpose — 'changing the world through digital experiences' — has consistently guided the company through four decades of transformation: PostScript and desktop publishing, PDF standardization, Creative Suite, the courageous cloud subscription pivot, and now AI-first creative tools [2]. The mission drives product decisions — Firefly's design-safe AI trained on licensed content reflects Adobe's commitment to ethical creative tools. The purpose is specific, thoughtful, and has shaped strategic decisions across multiple eras and technology shifts. Falls short of a 4 because the upcoming CEO transition introduces uncertainty about whether purpose will retain strategic primacy. Community Impact (1/2): Adobe Foundation supports digital literacy and creative education programs globally, and the company has invested in initiatives connecting creative tools to underserved communities. However, the DEI program rollback in April 2025 and suspension of sustainability reporting signal reduced institutional commitment to social impact beyond the core business [3]. Employee Retention (1/2): CEO Narayen's 19-year tenure (2007-2026) is exceptional for a tech CEO, and many senior leaders have decade-plus tenures, suggesting strong organizational stability [2]. Adobe consistently appears on Fortune's Best Companies lists. However, Narayen's announced departure and CFO Dan Durn's exit create leadership uncertainty, and mixed recent Glassdoor reviews cite frustration with AI strategy execution. Insider Buying (0/2): Net insider selling dominates — CEO Narayen sold ~75,000 shares at $243-245 in April 2026, and the 12-month picture shows approximately $35M in insider selling vs. minimal buying, undermining leadership conviction signals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with every metric at or above target. D/E of 57.7% is below the 70% target (score 1.0), reflecting conservative leverage with $6.8B debt against $5.6B cash and $9.35B annual free cash flow [1]. ROE of 61.9% vastly exceeds the 15% target (score 1.0, 2x weight), demonstrating extraordinary capital efficiency for a software franchise. Revenue growth YoY of 12.9% exceeds the 10% target (score 1.0), and the 3-year revenue CAGR of approximately 10.5% also clears target (score 1.0, 2x weight). Forward P/E of 8.91 is remarkably low for a dominant software company (score 1.0), while PEG of 0.61 is well below the 1.0 target (score 1.0, 2x weight), indicating the market has severely discounted Adobe relative to its growth rate. Profit margin of 28.0% exceeds the 20% target (score 1.0). Daily dollar volume of $1.22B provides maximum liquidity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16A34A"/>
          <w:sz w:val="22"/>
        </w:rPr>
        <w:t>INFINITE</w:t>
      </w:r>
      <w:r>
        <w:rPr>
          <w:rFonts w:ascii="Calibri" w:hAnsi="Calibri"/>
          <w:b w:val="0"/>
          <w:color w:val="6E8450"/>
          <w:sz w:val="22"/>
        </w:rPr>
        <w:t xml:space="preserve">      Overall: </w:t>
      </w:r>
      <w:r>
        <w:rPr>
          <w:rFonts w:ascii="Calibri" w:hAnsi="Calibri"/>
          <w:b/>
          <w:color w:val="16A34A"/>
          <w:sz w:val="28"/>
        </w:rPr>
        <w:t>8</w:t>
      </w:r>
      <w:r>
        <w:rPr>
          <w:rFonts w:ascii="Calibri" w:hAnsi="Calibri"/>
          <w:b w:val="0"/>
          <w:color w:val="9DAF88"/>
          <w:sz w:val="18"/>
        </w:rPr>
        <w:t xml:space="preserve"> /10</w:t>
      </w:r>
    </w:p>
    <w:p>
      <w:pPr>
        <w:spacing w:after="120"/>
      </w:pPr>
      <w:r>
        <w:rPr>
          <w:rFonts w:ascii="Calibri" w:hAnsi="Calibri"/>
          <w:b w:val="0"/>
          <w:color w:val="3A4A28"/>
          <w:sz w:val="18"/>
        </w:rPr>
        <w:t>Adobe is one of the strongest infinite-game companies in enterprise software, anchored by the perpetual-to-subscription pivot — one of the most courageous business model transformations in tech history. Under Narayen's 19-year tenure, the company has reinvented itself through four eras (desktop publishing, Creative Suite, Creative Cloud, AI-first) while maintaining a consistent purpose of empowering digital creativity. The current AI transformation represents yet another willingness to disrupt existing revenue streams in service of long-term relevance. The primary concern is whether infinite-game thinking survives the CEO transition, as recent insider selling and ESG rollbacks suggest some finite-game pressures.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Adobe's purpose — 'changing the world through digital experiences' — has demonstrably guided the company through four decades and multiple platform transformations: PostScript (1982), PDF standardization (1993), Creative Suite (2003), Creative Cloud subscription pivot (2013), and Firefly AI integration (2023) [2]. Each strategic shift traces back to this purpose — the SaaS pivot was specifically about democratizing access to creative tools, and Firefly's design-safe approach (trained on licensed content) reflects principled product development. The mission has survived 44 years and multiple technology disruptions. However, it has not yet survived the upcoming CEO transition, and the Figma acquisition failure suggests the cause doesn't always override competitive tactics.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Adobe has historically maintained strong workplace culture — consistently on Fortune's Best Companies lists, with competitive compensation and a creative-oriented environment serving 31,360 employees [2]. Narayen's 19-year tenure and many senior leaders with decade-plus tenures indicate organizational stability and trust. However, the impending CEO and CFO departures create leadership uncertainty, recent Glassdoor reviews cite mixed sentiments about AI strategy direction, and the April 2025 DEI program rollback signals potential erosion of the inclusive culture that attracted talent [3].</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Adobe acknowledges the competitive threat from AI-native tools (Canva, Midjourney, Runway) and responds by improving its own products — integrating Firefly across the suite, launching Express to compete with Canva at the prosumer tier, and expanding to mobile [2]. The company frames competition as motivation to accelerate AI integration rather than as a war to win. Adobe's acknowledgment that it must earn customer loyalty in an AI-disrupted creative market reflects competitive self-awareness and self-improvement orientation.</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Adobe's perpetual-to-subscription pivot (2013-2017) is one of the canonical examples of existential flexibility in corporate history. The company voluntarily abandoned a highly profitable business model — one-time license sales generating predictable revenue — to adopt a subscription model that initially cratered revenue and angered customers [1]. The pivot was driven by conviction about the future of software delivery, not desperation, and transformed Adobe from a $4B company to a $26B+ cloud platform. Now, the AI-first transformation represents another willingness to disrupt existing workflows in service of long-term relevance.</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The Creative Cloud subscription pivot is one of the most courageous decisions in software history — Adobe accepted 2+ years of revenue decline and intense customer backlash to invest in long-term subscription value, at a time when the existing model was highly profitable [1]. More recently, investing heavily in Firefly AI (contributing to margin pressure) while AI-native competitors threaten the core business demonstrates continued willingness to sacrifice near-term earnings for long-term capability. Walking away from the $20B Figma acquisition after regulatory pushback showed financial discipline. The pattern of costly long-term bets across Narayen's 19-year tenure is clear and consistent.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Adobe at $245 with a $95B market cap and 8.91x forward earnings is a dominant software franchise trading at historically depressed multiples — a potential deep-value opportunity if AI monetization succeeds. Q3 FY2026 delivered record revenue of $6.76B (up 13% YoY) and non-GAAP EPS of $6.13 (up 15% YoY), beating consensus on both lines [1]. Full-year FY2026 guidance was raised to $26.58-26.63B. The financial profile is exceptional: 61.9% ROE, 28% profit margin, $9.35B free cash flow, PEG of 0.61, and $27.5B ending ARR growing 11.2% YoY. AI-first ARR grew 150%+ YoY, and the company crossed 1 billion monthly active users, validating the freemium AI strategy [1]. The $6.8B debt is manageable against $5.6B cash and massive free cash flow generation. At 8.91x forward earnings, the market is pricing in significant AI disruption risk that Adobe's execution is actively working to disprove.</w:t>
      </w:r>
    </w:p>
    <w:p>
      <w:pPr>
        <w:spacing w:after="120"/>
      </w:pPr>
      <w:r>
        <w:rPr>
          <w:rFonts w:ascii="Calibri" w:hAnsi="Calibri"/>
          <w:b w:val="0"/>
          <w:color w:val="3A4A28"/>
          <w:sz w:val="20"/>
        </w:rPr>
        <w:t>The bear case centers on AI substitution risk, leadership transition uncertainty, and decelerating ARR growth. Adobe's core creative tools face genuine competitive pressure from AI-native alternatives — Canva (260M MAUs, acquired Affinity for professional-grade tools), Midjourney, Runway, and OpenAI's Sora — and the stock has fallen approximately 37% over the past year as investors price in this structural threat [2]. Net new ARR growth has softened, with management lowering ending ARR growth expectations to 10.2% for FY2026 (below the 11.2% Q3 pace) due to a strategic pivot toward freemium user acquisition that may sacrifice near-term monetization. CEO Narayen's announced departure and CFO Durn's exit create dual succession risk during the most consequential technology transition since the cloud pivot [2]. Heavy insider selling ($35M+ sold vs. minimal buying in 12 months) undermines leadership conviction signals. The DEI rollback and sustainability reporting pause suggest cultural drift that could affect talent retention in a competitive AI hiring market [3]. The Inspire Impact Score of -67 (MISALIGNED) limits allocation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AI-first ARR growing 150%+ YoY with Firefly integrated across Creative Cloud — successful monetization of the 1 billion MAU base through AI-powered upsell and new product tiers could re-accelerate net new ARR growth and drive multiple expansion from 8.91x forward earnings [1]</w:t>
      </w:r>
    </w:p>
    <w:p>
      <w:pPr>
        <w:spacing w:before="40" w:after="40"/>
        <w:ind w:left="283"/>
      </w:pPr>
      <w:r>
        <w:rPr>
          <w:rFonts w:ascii="Calibri" w:hAnsi="Calibri"/>
          <w:b/>
          <w:color w:val="4A6B25"/>
          <w:sz w:val="20"/>
        </w:rPr>
        <w:t xml:space="preserve">2. </w:t>
      </w:r>
      <w:r>
        <w:rPr>
          <w:rFonts w:ascii="Calibri" w:hAnsi="Calibri"/>
          <w:b w:val="0"/>
          <w:color w:val="3A4A28"/>
          <w:sz w:val="20"/>
        </w:rPr>
        <w:t>Forward P/E of 8.91x and PEG of 0.61x represent extreme valuation compression for a $26B+ revenue software franchise with 62% ROE and 28% margins — confirmation of sustained 13%+ revenue growth could trigger significant multiple re-rating toward historical 20-30x range [1]</w:t>
      </w:r>
    </w:p>
    <w:p>
      <w:pPr>
        <w:spacing w:before="40" w:after="40"/>
        <w:ind w:left="283"/>
      </w:pPr>
      <w:r>
        <w:rPr>
          <w:rFonts w:ascii="Calibri" w:hAnsi="Calibri"/>
          <w:b/>
          <w:color w:val="4A6B25"/>
          <w:sz w:val="20"/>
        </w:rPr>
        <w:t xml:space="preserve">3. </w:t>
      </w:r>
      <w:r>
        <w:rPr>
          <w:rFonts w:ascii="Calibri" w:hAnsi="Calibri"/>
          <w:b w:val="0"/>
          <w:color w:val="3A4A28"/>
          <w:sz w:val="20"/>
        </w:rPr>
        <w:t>New CEO appointment could catalyze an 'AI-native leadership' narrative, potentially accelerating organizational transformation and unlocking investor confidence that the creative software moat can be defended in the AI era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AI-native creative tools (Canva at 260M MAUs with Affinity acquisition, Midjourney, Runway, OpenAI Sora) are commoditizing capabilities Adobe has monetized as premium features — if generative AI reduces the skill threshold for creative production, the addressable market for professional-grade tools could structurally shrink [2]</w:t>
      </w:r>
    </w:p>
    <w:p>
      <w:pPr>
        <w:spacing w:before="40" w:after="40"/>
        <w:ind w:left="283"/>
      </w:pPr>
      <w:r>
        <w:rPr>
          <w:rFonts w:ascii="Calibri" w:hAnsi="Calibri"/>
          <w:b/>
          <w:color w:val="4A6B25"/>
          <w:sz w:val="20"/>
        </w:rPr>
        <w:t xml:space="preserve">2. </w:t>
      </w:r>
      <w:r>
        <w:rPr>
          <w:rFonts w:ascii="Calibri" w:hAnsi="Calibri"/>
          <w:b w:val="0"/>
          <w:color w:val="3A4A28"/>
          <w:sz w:val="20"/>
        </w:rPr>
        <w:t>Dual CEO and CFO succession risk during the most consequential technology transition since Adobe's cloud pivot — the incoming leader inherits a product suite under AI disruption pressure and must simultaneously accelerate AI integration while maintaining enterprise trust and the $27.5B ARR base [2]</w:t>
      </w:r>
    </w:p>
    <w:p>
      <w:pPr>
        <w:spacing w:before="40" w:after="40"/>
        <w:ind w:left="283"/>
      </w:pPr>
      <w:r>
        <w:rPr>
          <w:rFonts w:ascii="Calibri" w:hAnsi="Calibri"/>
          <w:b/>
          <w:color w:val="4A6B25"/>
          <w:sz w:val="20"/>
        </w:rPr>
        <w:t xml:space="preserve">3. </w:t>
      </w:r>
      <w:r>
        <w:rPr>
          <w:rFonts w:ascii="Calibri" w:hAnsi="Calibri"/>
          <w:b w:val="0"/>
          <w:color w:val="3A4A28"/>
          <w:sz w:val="20"/>
        </w:rPr>
        <w:t>Net insider selling of ~$35M vs. minimal buying over the past 12 months, led by CEO Narayen's share disposals, signals potential lack of near-term conviction from those with the most information about AI monetization trajectory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Adobe occupies a precarious middle ground in the AI disruption landscape. Its core creative tools — Photoshop, Illustrator, Premiere Pro — face genuine substitution risk from AI-native competitors: Midjourney and DALL-E for image generation, Runway and OpenAI Sora for video, and Canva AI (260M MAUs) for design democratization at dramatically lower price points [2]. The stock has fallen approximately 37% over the past year as investors price in this disruption risk, and softer net new ARR trends suggest the competitive threat is materializing in customer acquisition. Analysts have explicitly flagged AI as a structural risk to Adobe's creative tools business. However, Adobe's distribution moat — 1 billion MAUs, $27.5B ending ARR, deep enterprise workflow integration, proprietary training data (Adobe Stock), and the Acrobat/PDF near-monopoly — provides meaningful protection. Enterprise switching costs for Creative Cloud and Experience Cloud remain high. The outcome is genuinely uncertain, but the bear case is real. AI Opportunity (1/1): Adobe generates meaningful and growing AI revenue — AI-first ARR grew 150%+ YoY, Firefly has generated billions of commercial images, and the company has launched HUMAIN strategic alliance for generative AI model development [1]. Adobe has monetized generative AI faster than most software incumbents.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-67</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Adobe Q3 FY2026 Earnings — Record Revenue $6.76B (+13% YoY), Non-GAAP EPS $6.13 (+15%), 1B MAUs, AI-First ARR +150%, Raised FY26 Guidance $26.58-26.63B — Quartz, Morningstar, SEC 10-Q, StockTitan, September 2026</w:t>
      </w:r>
    </w:p>
    <w:p>
      <w:pPr>
        <w:spacing w:before="20" w:after="20"/>
        <w:ind w:left="170"/>
      </w:pPr>
      <w:r>
        <w:rPr>
          <w:rFonts w:ascii="Calibri" w:hAnsi="Calibri"/>
          <w:b/>
          <w:color w:val="4A6B25"/>
          <w:sz w:val="15"/>
        </w:rPr>
        <w:t xml:space="preserve">2. </w:t>
      </w:r>
      <w:r>
        <w:rPr>
          <w:rFonts w:ascii="Calibri" w:hAnsi="Calibri"/>
          <w:b w:val="0"/>
          <w:color w:val="3A4A28"/>
          <w:sz w:val="17"/>
        </w:rPr>
        <w:t>Adobe CEO Transition, AI Strategy, Competitive Landscape — Narayen Stepping Down, Firefly vs. Canva/Midjourney, Stock Decline, Insider Selling — YMCinema, PCWorld, FinancialContent, Yahoo Finance, 2025-2026</w:t>
      </w:r>
    </w:p>
    <w:p>
      <w:pPr>
        <w:spacing w:before="20" w:after="20"/>
        <w:ind w:left="170"/>
      </w:pPr>
      <w:r>
        <w:rPr>
          <w:rFonts w:ascii="Calibri" w:hAnsi="Calibri"/>
          <w:b/>
          <w:color w:val="4A6B25"/>
          <w:sz w:val="15"/>
        </w:rPr>
        <w:t xml:space="preserve">3. </w:t>
      </w:r>
      <w:r>
        <w:rPr>
          <w:rFonts w:ascii="Calibri" w:hAnsi="Calibri"/>
          <w:b w:val="0"/>
          <w:color w:val="3A4A28"/>
          <w:sz w:val="17"/>
        </w:rPr>
        <w:t>Adobe ESG and Workforce — DEI Rollback April 2025, Sustainability Reporting Pause, Layoffs, Trademark Dispute — Boerse Express, Outlook Business, KORE1,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