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ADC</w:t>
      </w:r>
      <w:r>
        <w:rPr>
          <w:rFonts w:ascii="Calibri" w:hAnsi="Calibri"/>
          <w:b/>
          <w:color w:val="1A2010"/>
          <w:sz w:val="40"/>
        </w:rPr>
        <w:t xml:space="preserve">  Agree Realty Corporation</w:t>
      </w:r>
    </w:p>
    <w:p>
      <w:pPr>
        <w:spacing w:after="120"/>
      </w:pPr>
      <w:r>
        <w:rPr>
          <w:rFonts w:ascii="Calibri" w:hAnsi="Calibri"/>
          <w:b/>
          <w:color w:val="6E8450"/>
          <w:sz w:val="18"/>
        </w:rPr>
        <w:t>DIVIDEND SLEEVE · 2026-09-22 · Inspire: 47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Retail · NYSE · United States</w:t>
      </w:r>
    </w:p>
    <w:p>
      <w:pPr>
        <w:spacing w:after="80"/>
      </w:pPr>
      <w:r>
        <w:rPr>
          <w:rFonts w:ascii="Calibri" w:hAnsi="Calibri"/>
          <w:b w:val="0"/>
          <w:color w:val="3A4A28"/>
          <w:sz w:val="20"/>
        </w:rPr>
        <w:t>Agree Realty Corporation is a publicly traded net lease REIT that acquires and develops properties net leased to industry-leading, omni-channel retail tenants. As of Q2 2026, the Company owned and operated a portfolio of 2,825 properties located in all 50 states containing approximately 59.6 million square feet of gross leasable area. Q2 2026 set a company record with $502M invested in 102 properties. The company raised 2026 AFFO guidance to $4.57-$4.59/share after reporting Q2 revenue of $205.1M (+16.9% YoY). Founded in 1971 and headquartered in Royal Oak, Michigan. Market cap ~$8.4B.</w:t>
      </w:r>
    </w:p>
    <w:p>
      <w:r>
        <w:rPr>
          <w:rFonts w:ascii="Calibri" w:hAnsi="Calibri"/>
          <w:b/>
          <w:color w:val="6E8450"/>
          <w:sz w:val="18"/>
        </w:rPr>
        <w:t>90 Employees · https://agreerealty.com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(2/3): Agree Realty has executed an aggressive acquisition-driven transformation, scaling from approximately 900 properties in 2020 to 2,825 properties by mid-2026 — tripling the portfolio in six years while maintaining 99.7% occupancy [1][2]. Q2 2026 set a company record with $502M invested in 102 properties. The 'Rethinking Retail' positioning focuses on omni-channel tenants resilient to e-commerce disruption, representing genuine strategic insight that has reshaped how the market values retail net lease assets. AI Deployment (0/2): No evidence of AI-powered products or measurable AI-driven efficiencies; the lean 90-person workforce limits scope for internal AI deployment. Market Share (1/2): Agree Realty has become one of the largest pure-play net lease REITs with ~$8.4B market cap, though it trails Realty Income ($45B+) and National Retail Properties in scale [1]. Product Pipeline (0/2): Pipeline consists of property acquisitions — the standard net lease REIT growth mechanism. Investment guidance raised to $1.6-1.8B for 2026 [2]. R&amp;D Intensity (1/1): Proprietary tenant credit analytics and property sourcing capabilities enable 90 employees to manage 2,825 properties across 50 states — exceptional operational leverage exceeding typical net lease REIT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'Rethinking Retail' is more distinctive than typical REIT missions and reflects genuine strategic intentionality about which retail categories will endure in an e-commerce world [2]. It connects acquisitions to a larger thesis about the future of physical retail, though remains a business strategy framing rather than a deeper purpose transcending profitability. Community Impact (1/2): ESG report highlights Gold Level Green Lease Leader recognition, Scope 1-3 emissions accounting including tenant emissions, and improved GRESB and MSCI ESG ratings [3]. Demonstrates measurable sustainability commitment within the property portfolio, though dedicated philanthropic programs are not prominently featured. Employee Retention (1/2): CEO Joey Agree's 16-year tenure (since 2013) and COO Nicole Witteveen's rise through the organization demonstrate leadership continuity in a lean 90-person team [2]. However, Glassdoor reviews describe 'long hours, below market pay,' and a culture where 'jobs are given based on connections rather than qualifications,' suggesting mixed retention dynamics [2]. Insider Buying (0/2): No evidence of meaningful discretionary open-market insider buying in the last 12 months. CEO compensation is 89.2% stock-based, which aligns interests but does not constitute voluntary insider purchasing.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on dividend stock metrics. D/E of 59.0% is well below the 70% target, scoring 1.0 — conservative leverage for a REIT [1]. Revenue growth YoY of 16.8% and 5yr CAGR of ~18.7% both exceed the 10% target, scoring 1.0 each, driven by aggressive but disciplined acquisition activity [1][2]. Profit margin of 28.8% exceeds the 20% target (1.0). The dividend record is exceptional: 32 consecutive years paid (1.0 at 2x weight) with 13 consecutive years of growth (1.0) [1]. Primary drags: GAAP payout ratio of 168.9% scores 0 (typical for REITs where depreciation depresses GAAP income; AFFO payout ratio is ~70%). ROE of 3.7% scores 0.25, depressed by the large equity base from ongoing share issuance to fund acquisitions. 5yr dividend growth CAGR of 4.2% ($0.217 to $0.267 monthly) scores 0.70 at 2x weight, below the 6% target. Forward P/E of 35.0x scores 0.63 on GAAP metrics (AFFO-based P/FFO of ~15x is more appropriate for REITs). Liquidity clears easily: 1.36M avg volume x $67.62 = $92.1M.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Agree Realty demonstrates above-average infinite game characteristics for a REIT. CEO Joey Agree's 16-year tenure and the 'Rethinking Retail' thesis represent genuine long-term orientation that has guided disciplined acquisition decisions through multiple market cycles, including aggressive investment during COVID-19 when retail real estate was deeply out of favor [1][2]. The focus on omni-channel, necessity-based retail tenants reflects forward-looking strategic thinking. However, Glassdoor-reported cultural challenges in the lean 90-person organization and the absence of a cause that transcends portfolio returns limit the infinite game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'Rethinking Retail' is a genuinely distinctive positioning for a net lease REIT — it articulates a thesis about the future of physical retail that has guided acquisition decisions for over a decade and differentiates from peers who acquire whatever net lease properties are available [2]. CEO Joey Agree's 16-year tenure pursuing this thesis demonstrates consistency. Strategic decisions — focusing exclusively on essential retail, avoiding office and industrial diversification, prioritizing tenant credit quality — clearly trace back to this thesis. However, the cause ultimately serves portfolio returns rather than a broader future state.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concerning picture: employees describe 'long hours, below market pay,' jobs given based on connections, and a political environment disproportionate to the company's small size [2]. In a 90-person organization where every individual's contribution is critical, these cultural issues are amplified. The hiring of Nicole Witteveen as COO (previously EVP, People &amp; Culture) may signal awareness of these problems, but remediation evidence is limited.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Rather than directly competing with Realty Income ($45B+) on scale, Agree Realty has carved a differentiated niche focused on omni-channel retail resilience and tenant credit quality [1]. Management acknowledges larger competitors' strengths while competing on portfolio quality and tenant selection rather than sheer size. The 'Rethinking Retail' thesis is fundamentally about self-improvement and forward-looking strategy rather than defeating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Agree Realty meaningfully evolved from a small, regional development REIT ($300M market cap under prior leadership) into a $8.4B national acquisition platform operating in all 50 states, tripling its portfolio in six years [1][2]. The strategic pivot toward omni-channel, e-commerce-resilient tenants represents genuine adaptation to the changing retail landscape. However, the fundamental business model — acquiring and leasing single-tenant retail properties — has remained constant since the company's 1971 founding.</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CEO Joey Agree demonstrated a pattern of courageous capital allocation. The company invested aggressively during COVID-19 when retail real estate was deeply out of favor, acquiring properties at attractive cap rates while competitors retreated [1]. The decision to focus exclusively on net lease retail — avoiding diversification into industrial and office that peers pursued — required conviction when consensus was that physical retail was dying. Raising 2026 investment guidance to $1.6-1.8B with a record $502M invested in Q2 demonstrates continued commitment to the thesis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Agree Realty is a best-in-class net lease REIT now yielding 4.74% at $67.62/share (down from $78.50 in August), with 32 consecutive years of dividends, 13 years of growth, and exceptional portfolio quality — 99.7% occupancy across 2,825 properties in all 50 states leased to omni-channel, necessity-based retail tenants [1]. Q2 2026 beat expectations with revenue of $205.1M (+16.9% YoY), AFFO per share of $1.14 (up 7.4%), and a company-record $502M invested in 102 properties [1]. Management raised 2026 AFFO guidance to $4.57-$4.59/share and investment guidance to $1.6-1.8B. D/E of 59.0% provides balance sheet safety rare among REITs. The stock's 14% pullback from August levels improves the entry point, and the ~15x AFFO multiple is reasonable for a high-quality net lease compounder.</w:t>
      </w:r>
    </w:p>
    <w:p>
      <w:pPr>
        <w:spacing w:after="120"/>
      </w:pPr>
      <w:r>
        <w:rPr>
          <w:rFonts w:ascii="Calibri" w:hAnsi="Calibri"/>
          <w:b w:val="0"/>
          <w:color w:val="3A4A28"/>
          <w:sz w:val="20"/>
        </w:rPr>
        <w:t>The bear case centers on valuation and structural growth challenges. Forward P/E of 35.0x (GAAP) equates to ~15x AFFO, a reasonable but not cheap multiple for a REIT whose per-share growth (~6-7% AFFO/share) significantly trails headline revenue growth of 16.8% due to ongoing equity issuance to fund acquisitions [1]. The GAAP payout ratio of 169% is covered by AFFO but leaves limited margin for error. Rising interest rates compress the spread between acquisition cap rates and cost of capital, potentially slowing the accretive acquisition engine that drives growth. Glassdoor reviews describing culture issues in the 90-person organization present operational risk where underwriting talent retention is critical [2]. The 5-year dividend growth CAGR of 4.2% trails inflation-adjusted targets and the revenue growth rate, reflecting per-share dilution from equity issuances. Inspire Impact Score of 47 (ALIGNED) supports faith-based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Raised 2026 AFFO guidance to $4.57-$4.59/share and investment guidance to $1.6-1.8B, with Q2's record $502M deployed in 102 properties demonstrating accelerating acquisition momentum and management conviction [1]</w:t>
      </w:r>
    </w:p>
    <w:p>
      <w:pPr>
        <w:spacing w:before="40" w:after="40"/>
        <w:ind w:left="283"/>
      </w:pPr>
      <w:r>
        <w:rPr>
          <w:rFonts w:ascii="Calibri" w:hAnsi="Calibri"/>
          <w:b/>
          <w:color w:val="4A6B25"/>
          <w:sz w:val="20"/>
        </w:rPr>
        <w:t xml:space="preserve">2. </w:t>
      </w:r>
      <w:r>
        <w:rPr>
          <w:rFonts w:ascii="Calibri" w:hAnsi="Calibri"/>
          <w:b w:val="0"/>
          <w:color w:val="3A4A28"/>
          <w:sz w:val="20"/>
        </w:rPr>
        <w:t>Stock pullback from $78.50 to $67.62 improves entry yield to 4.74% and compresses AFFO multiple to ~15x, closer to fair value for a high-quality net lease compounder with 32 years of dividends</w:t>
      </w:r>
    </w:p>
    <w:p>
      <w:pPr>
        <w:spacing w:before="40" w:after="40"/>
        <w:ind w:left="283"/>
      </w:pPr>
      <w:r>
        <w:rPr>
          <w:rFonts w:ascii="Calibri" w:hAnsi="Calibri"/>
          <w:b/>
          <w:color w:val="4A6B25"/>
          <w:sz w:val="20"/>
        </w:rPr>
        <w:t xml:space="preserve">3. </w:t>
      </w:r>
      <w:r>
        <w:rPr>
          <w:rFonts w:ascii="Calibri" w:hAnsi="Calibri"/>
          <w:b w:val="0"/>
          <w:color w:val="3A4A28"/>
          <w:sz w:val="20"/>
        </w:rPr>
        <w:t>Omni-channel retail thesis validation as necessity-based tenants (grocery, convenience, auto parts, home improvement) prove resilient to e-commerce disruption and economic cycles, with 99.7% occupancy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Interest rate sensitivity — rising rates compress acquisition cap rate spreads and increase cost of capital, potentially slowing the accretive acquisition engine that drives revenue and AFFO growth [1]</w:t>
      </w:r>
    </w:p>
    <w:p>
      <w:pPr>
        <w:spacing w:before="40" w:after="40"/>
        <w:ind w:left="283"/>
      </w:pPr>
      <w:r>
        <w:rPr>
          <w:rFonts w:ascii="Calibri" w:hAnsi="Calibri"/>
          <w:b/>
          <w:color w:val="4A6B25"/>
          <w:sz w:val="20"/>
        </w:rPr>
        <w:t xml:space="preserve">2. </w:t>
      </w:r>
      <w:r>
        <w:rPr>
          <w:rFonts w:ascii="Calibri" w:hAnsi="Calibri"/>
          <w:b w:val="0"/>
          <w:color w:val="3A4A28"/>
          <w:sz w:val="20"/>
        </w:rPr>
        <w:t>Per-share dilution from equity issuance-funded growth — revenue growth of 16.8% significantly exceeds AFFO/share growth of ~6-7%, and dividend growth CAGR of 4.2% trails both, reflecting ongoing shareholder dilution</w:t>
      </w:r>
    </w:p>
    <w:p>
      <w:pPr>
        <w:spacing w:before="40" w:after="40"/>
        <w:ind w:left="283"/>
      </w:pPr>
      <w:r>
        <w:rPr>
          <w:rFonts w:ascii="Calibri" w:hAnsi="Calibri"/>
          <w:b/>
          <w:color w:val="4A6B25"/>
          <w:sz w:val="20"/>
        </w:rPr>
        <w:t xml:space="preserve">3. </w:t>
      </w:r>
      <w:r>
        <w:rPr>
          <w:rFonts w:ascii="Calibri" w:hAnsi="Calibri"/>
          <w:b w:val="0"/>
          <w:color w:val="3A4A28"/>
          <w:sz w:val="20"/>
        </w:rPr>
        <w:t>Organizational culture risk — Glassdoor reviews citing 'long hours, below market pay,' and connection-based advancement in a 90-person company where acquisition underwriting quality depends on individual talent retention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Agree Realty's core business — owning physical retail properties net leased to essential, omni-channel tenants — is structurally immune to AI disruption [1]. Net leases on physical real estate secured by long-term contracts with investment-grade tenants (Walmart, Tractor Supply, Dollar General, Wawa) cannot be digitized or replaced by AI. The focus on necessity-based retail categories (grocery, home improvement, auto parts, convenience) ensures demand for physical locations persists regardless of AI advances. AI may increase demand for distribution and logistics real estate as e-commerce scales, but Agree Realty's retail focus insulates it from technology substitution risk. AI Opportunity (0/1): No evidence of AI-generated revenue. The company may use data analytics for tenant credit assessment and property sourcing, but this does not constitute meaningful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Agree Realty Q2 2026 Earnings — Revenue $205.1M (+16.9% YoY), AFFO/share $1.14, Record $502M Invested in 102 Properties, Raised Guidance to $4.57-$4.59 AFFO, 2,825 Properties, 99.7% Occupancy, July 2026</w:t>
      </w:r>
    </w:p>
    <w:p>
      <w:pPr>
        <w:spacing w:before="20" w:after="20"/>
        <w:ind w:left="170"/>
      </w:pPr>
      <w:r>
        <w:rPr>
          <w:rFonts w:ascii="Calibri" w:hAnsi="Calibri"/>
          <w:b/>
          <w:color w:val="4A6B25"/>
          <w:sz w:val="15"/>
        </w:rPr>
        <w:t xml:space="preserve">2. </w:t>
      </w:r>
      <w:r>
        <w:rPr>
          <w:rFonts w:ascii="Calibri" w:hAnsi="Calibri"/>
          <w:b w:val="0"/>
          <w:color w:val="3A4A28"/>
          <w:sz w:val="17"/>
        </w:rPr>
        <w:t>Agree Realty Corporate Profile, Leadership, and Glassdoor Reviews — CEO Joey Agree (16-year tenure), 'Rethinking Retail' Positioning, Culture Concerns,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Agree Realty ESG and Sustainability — 2022 ESG Report, Gold Level Green Lease Leader, GRESB/MSCI Ratings, Scope 1-3 Emissions Accounting,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