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ADI</w:t>
      </w:r>
      <w:r>
        <w:rPr>
          <w:rFonts w:ascii="Calibri" w:hAnsi="Calibri"/>
          <w:b/>
          <w:color w:val="1A2010"/>
          <w:sz w:val="40"/>
        </w:rPr>
        <w:t xml:space="preserve">  Analog Devices, Inc.</w:t>
      </w:r>
    </w:p>
    <w:p>
      <w:pPr>
        <w:spacing w:after="120"/>
      </w:pPr>
      <w:r>
        <w:rPr>
          <w:rFonts w:ascii="Calibri" w:hAnsi="Calibri"/>
          <w:b/>
          <w:color w:val="6E8450"/>
          <w:sz w:val="18"/>
        </w:rPr>
        <w:t>DIVIDEND SLEEVE · 2026-08-27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Analog Devices designs, manufactures, and markets high-performance analog, mixed-signal, and digital signal processing integrated circuits used in industrial, automotive, communications, and consumer applications. Under CEO and Chair Vincent Roche, ADI has grown from $2.7B revenue (FY2012) to record Q2 FY2026 revenue of $3.62B (+37% YoY) through a combination of organic innovation and transformative acquisitions (Hittite Microwave 2014, Linear Technology 2017, Maxim Integrated 2021). TTM revenue reached $12.74B with 30% YoY growth as the semiconductor cycle recovery accelerates. ADI has raised its dividend for 22 consecutive years and is approaching Dividend Aristocrat status.</w:t>
      </w:r>
    </w:p>
    <w:p>
      <w:r>
        <w:rPr>
          <w:rFonts w:ascii="Calibri" w:hAnsi="Calibri"/>
          <w:b/>
          <w:color w:val="6E8450"/>
          <w:sz w:val="18"/>
        </w:rPr>
        <w:t>26,000 Employees · https://www.analog.com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ADI has executed a strategy of acquiring best-in-class analog semiconductor companies -- Hittite Microwave ($2.5B, 2014), Linear Technology ($14.8B, 2017), and Maxim Integrated ($21B, 2021) -- successfully integrating each to create the broadest high-performance analog portfolio in the industry [1]. Under Roche's leadership, revenue grew from $2.7B to $12.7B TTM, though much of this growth is acquisition-driven rather than organic product reinvention. The company has not made a transformative pivot that redefined its business model. AI Deployment (1/2): ADI enables AI infrastructure through power management, signal processing, and analog-to-digital conversion chips used in data centers, but the company has not shipped AI-powered products to its own customers or reported specific AI-driven internal cost savings [2]. ADI's products are AI infrastructure components rather than AI products themselves. Market Share (2/2): ADI is the dominant high-performance analog/mixed-signal semiconductor company globally, with leading positions in industrial automation, automotive sensor interfaces, communications infrastructure, and data center power management [1]. Record Q2 FY2026 revenue of $3.62B (+37% YoY) reflects market share gains in the semiconductor cycle recovery. Product Pipeline (1/2): Management described a 'multi-year opportunity in data center, energy, and AI infrastructure' and expects FY2027 to be a 'brisk growth year,' but no specific next-gen products with named launch dates were disclosed [1]. R&amp;D Intensity (1/1): ADI invests above the semiconductor industry average in R&amp;D, supporting its analog design expertise and maintaining technological leadership in precision signal processing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ADI's stated purpose is to 'deliver high value intelligent edge solutions to several of humanity's most pressing challenges' in areas including healthcare, sustainable energy, and transportation [2]. This is clear and connects the company's work to societal benefit, but is not deeply distinctive from semiconductor peers like Texas Instruments or NXP who articulate similar missions around enabling technology for the world's problems. Community Impact (1/2): ADI publishes annual ESG reports (2025 report issued June 2026) with environmental targets including 100% renewable energy for manufacturing by 2025 and 50% reduction in Scope 1+2 GHG emissions by 2030 [3]. The company has employee volunteer programs and educational partnerships, but no distinctive large-scale community investment was identified. Employee Retention (1/2): CEO Roche has led ADI since 2013 (13-year tenure) and previously served in various leadership roles, suggesting a promote-from-within culture [2]. The semiconductor industry generally values long-tenured analog design engineers, and ADI's engineering workforce is a recognized competitive advantage. However, no specific turnover or tenure data was identified.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ADI demonstrates exceptional financial metrics across most dimensions. D/E of 27% is well below the 70% target, reflecting conservative leverage post-Maxim integration [4]. Revenue growth YoY of 30%+ and 5-year revenue CAGR of 15.17% both exceed targets, driven by the semiconductor cycle recovery and AI infrastructure demand [1]. Profit margin of 26% exceeds the 20% target. Forward P/E of 23.43 scores 0.914 vs the 20x target. The key drags are ROE of 12.23% below the 15% target (depressed by substantial goodwill from three major acquisitions inflating the equity base) and payout ratio of 74% above the 40% target (scoring 0.433) [4]. The dividend record is strong: 22 consecutive years of growth with 11% 5-year dividend growth CAGR, both scoring maximum on 2x-weighted metrics. Liquidity is excellent with estimated daily turnover of ~$867M.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Analog Devices exhibits strong infinite game characteristics through courageous capital allocation (three multi-billion dollar acquisitions that reshaped the company) and a consistent focus on solving customers' toughest engineering challenges. CEO Roche's 13-year tenure provides strategic continuity. However, the company's evolution has been primarily through M&amp;A rather than organic reinvention, the mission lacks the transformative depth Sinek requires, and no evidence of a learning-oriented competitive mindset was identified -- ADI focuses on analog excellence rather than acknowledging competitors' strengths.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ADI's purpose of enabling intelligent edge solutions for 'humanity's most pressing challenges' in healthcare, energy, transportation, and communications connects the company to meaningful societal outcomes [2]. Under Roche's 13-year leadership, strategic decisions (acquiring Linear Technology, Maxim, Hittite) have consistently aimed at broadening capability to serve these challenges rather than purely financial engineering. However, the cause is not deeply distinctive from semiconductor peers, and it has not been tested through crisis in a way that proves the purpose drives decisions beyond what profitability already dictates.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ADI maintains a workforce of ~26,000 employees with CEO Roche providing 13 years of stable leadership [2]. The semiconductor industry values engineering talent retention, and ADI's reputation for analog design excellence suggests a culture that attracts and retains top analog engineers -- a scarce and valuable workforce. The successful integration of three major acquisitions (Hittite, Linear Tech, Maxim) without reported cultural conflicts suggests organizational trust. However, no specific turnover, tenure, or employee sentiment data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ADI's competitive framing focuses on its own analog leadership and technology breadth rather than acknowledging competitors' strengths. No evidence of management commentary referencing Texas Instruments, Microchip, or other analog peers as worthy rivals from whom ADI learns was identified [1]. The company's acquisitive strategy (buying competitors rather than learning from them) is effective but reflects a finite competitive mindset in Sinek's framework.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ADI has evolved from a pure analog company to a comprehensive mixed-signal semiconductor leader through three transformative acquisitions (Hittite, Linear Technology, Maxim) that each expanded the company's technology capabilities [1]. The Maxim acquisition ($21B) nearly doubled the company's revenue and product portfolio. However, these were additive acquisitions in adjacent markets rather than the kind of purpose-driven business model abandonment Sinek looks for -- ADI has never abandoned what was working to pursue something fundamentally different.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ADI under Roche has demonstrated a consistent pattern of making multi-billion dollar long-term bets: $2.5B Hittite Microwave (2014) for microwave/RF capability, $14.8B Linear Technology (2017) for power management leadership, and $21B Maxim Integrated (2021) for scale and portfolio breadth [1]. Each acquisition was a bold capital allocation decision that accepted near-term dilution, integration risk, and debt for long-term capability. Roche continued investing in R&amp;D through the 2023-2024 semiconductor downturn, maintaining engineering talent and product development when revenue declined ~25%, rather than cutting costs for short-term earnings protection.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Analog Devices at 23.4x forward earnings is a premier analog semiconductor franchise riding a multi-year AI infrastructure supercycle, with record Q2 FY2026 revenue of $3.62B (+37% YoY) demonstrating the strongest growth trajectory in the company's history [1]. The conservative D/E of 27%, profit margin of 26%, and 22 consecutive years of dividend growth (11% CAGR) provide a rare combination of growth and income durability. ADI's products are essential AI infrastructure -- power management, data conversion, and signal processing chips required by every GPU cluster, autonomous vehicle, and AI-enabled factory -- making the company a direct beneficiary of the secular AI buildout [1]. The Maxim integration is complete, unlocking cross-selling synergies and operational leverage that should drive margin expansion as the cycle matures. Management expects FY2027 to be a 'brisk growth year,' and 5-year revenue CAGR of 15.17% validates the compounding trajectory.</w:t>
      </w:r>
    </w:p>
    <w:p>
      <w:pPr>
        <w:spacing w:after="120"/>
      </w:pPr>
      <w:r>
        <w:rPr>
          <w:rFonts w:ascii="Calibri" w:hAnsi="Calibri"/>
          <w:b w:val="0"/>
          <w:color w:val="3A4A28"/>
          <w:sz w:val="20"/>
        </w:rPr>
        <w:t>The bear case centers on semiconductor cyclicality, valuation, and the sustainability of AI demand. Trailing P/E of 44.3x reflects cycle-trough earnings now rapidly recovering -- the risk is that the current 37% revenue growth is the peak of a cyclical rebound rather than the beginning of sustained secular growth, and the forward P/E of 23.4x prices in continued double-digit growth [4]. ROE of 12.23% remains below the 15% target, depressed by $32B+ in goodwill from three major acquisitions that inflate the equity base without generating proportional returns -- if revenue growth slows, the return profile looks less compelling. The payout ratio of 74% is elevated relative to the 40% target, creating less margin for error on the dividend. Semiconductor inventories across the supply chain may be rebuilt ahead of tariff uncertainty, creating pull-forward risk. Customer concentration in industrial, automotive, and communications means a macro slowdown in any of these end markets could compress revenue rapidly. The Inspire Impact Score of -49 (MISALIGNED) due to LGBT Activism may limit faith-based allocation despite strong ESG practices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Multi-year AI infrastructure buildout driving exponential demand for precision power management, high-speed data converters, and energy management solutions in data centers -- management describes 'multi-year opportunity' with FY2027 expected to be a 'brisk growth year' [1]</w:t>
      </w:r>
    </w:p>
    <w:p>
      <w:pPr>
        <w:spacing w:before="40" w:after="40"/>
        <w:ind w:left="283"/>
      </w:pPr>
      <w:r>
        <w:rPr>
          <w:rFonts w:ascii="Calibri" w:hAnsi="Calibri"/>
          <w:b/>
          <w:color w:val="4A6B25"/>
          <w:sz w:val="20"/>
        </w:rPr>
        <w:t xml:space="preserve">2. </w:t>
      </w:r>
      <w:r>
        <w:rPr>
          <w:rFonts w:ascii="Calibri" w:hAnsi="Calibri"/>
          <w:b w:val="0"/>
          <w:color w:val="3A4A28"/>
          <w:sz w:val="20"/>
        </w:rPr>
        <w:t>Record Q2 FY2026 revenue of $3.62B (+37% YoY) signals the semiconductor cycle recovery is accelerating, with margin expansion from operating leverage on higher revenue volumes driving EPS growth of ~80% YoY [1]</w:t>
      </w:r>
    </w:p>
    <w:p>
      <w:pPr>
        <w:spacing w:before="40" w:after="40"/>
        <w:ind w:left="283"/>
      </w:pPr>
      <w:r>
        <w:rPr>
          <w:rFonts w:ascii="Calibri" w:hAnsi="Calibri"/>
          <w:b/>
          <w:color w:val="4A6B25"/>
          <w:sz w:val="20"/>
        </w:rPr>
        <w:t xml:space="preserve">3. </w:t>
      </w:r>
      <w:r>
        <w:rPr>
          <w:rFonts w:ascii="Calibri" w:hAnsi="Calibri"/>
          <w:b w:val="0"/>
          <w:color w:val="3A4A28"/>
          <w:sz w:val="20"/>
        </w:rPr>
        <w:t>Approaching Dividend Aristocrat status (22 consecutive years of growth, need 25) with 11% dividend CAGR could attract income-focused institutional investors as ADI crosses the threshold in 2029, providing a structural demand catalyst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cyclicality risk -- the current 37% revenue growth reflects recovery from a ~25% downturn in FY2023-2024, and part of the demand may be inventory rebuilding ahead of tariff uncertainty rather than sustainable end-market consumption, creating pull-forward risk [1]</w:t>
      </w:r>
    </w:p>
    <w:p>
      <w:pPr>
        <w:spacing w:before="40" w:after="40"/>
        <w:ind w:left="283"/>
      </w:pPr>
      <w:r>
        <w:rPr>
          <w:rFonts w:ascii="Calibri" w:hAnsi="Calibri"/>
          <w:b/>
          <w:color w:val="4A6B25"/>
          <w:sz w:val="20"/>
        </w:rPr>
        <w:t xml:space="preserve">2. </w:t>
      </w:r>
      <w:r>
        <w:rPr>
          <w:rFonts w:ascii="Calibri" w:hAnsi="Calibri"/>
          <w:b w:val="0"/>
          <w:color w:val="3A4A28"/>
          <w:sz w:val="20"/>
        </w:rPr>
        <w:t>Acquisition-inflated equity base ($32B+ goodwill) depresses ROE to 12.23% -- if revenue growth decelerates, the return on the capital deployed for Hittite, Linear Technology, and Maxim acquisitions may face scrutiny from investors expecting higher returns on invested capital [4]</w:t>
      </w:r>
    </w:p>
    <w:p>
      <w:pPr>
        <w:spacing w:before="40" w:after="40"/>
        <w:ind w:left="283"/>
      </w:pPr>
      <w:r>
        <w:rPr>
          <w:rFonts w:ascii="Calibri" w:hAnsi="Calibri"/>
          <w:b/>
          <w:color w:val="4A6B25"/>
          <w:sz w:val="20"/>
        </w:rPr>
        <w:t xml:space="preserve">3. </w:t>
      </w:r>
      <w:r>
        <w:rPr>
          <w:rFonts w:ascii="Calibri" w:hAnsi="Calibri"/>
          <w:b w:val="0"/>
          <w:color w:val="3A4A28"/>
          <w:sz w:val="20"/>
        </w:rPr>
        <w:t>Forward P/E of 23.4x prices in continued double-digit growth; a macro slowdown in industrial, automotive, or communications end markets could rapidly compress revenue and earnings, given ADI's operating leverage amplifies both upside and downside in cyclical swings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Analog Devices IS semiconductor infrastructure that AI depends on. AI data centers require precision power management, high-speed analog-to-digital conversion, and signal conditioning chips that ADI designs and manufactures -- you cannot build or operate AI systems without analog semiconductors [1]. Autonomous vehicles need ADI's LIDAR signal processing, radar front-ends, and sensor interface chips. Industrial AI automation depends on ADI's precision measurement and control ICs. AI does not displace analog semiconductors -- it creates exponentially more demand for them. Every new GPU cluster, every autonomous vehicle, every AI-enabled factory requires more of ADI's products. Analysts have identified ADI as a direct beneficiary of AI infrastructure buildout, with data center, energy management, and power delivery representing a multi-year secular growth opportunity [1]. The physical nature of analog chip design (requiring decades of engineering expertise) and the long qualification cycles in industrial/automotive create structural barriers that software-based AI cannot replicate. AI Opportunity (1/1): ADI generates meaningful AI-related revenue through data center power management chips, high-speed data converters for AI training infrastructure, and energy management solutions for AI computing facilities. Record Q2 FY2026 revenue of $3.62B (+37% YoY) is partly driven by AI infrastructure demand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Analog Devices Q1 and Q2 FY2026 Earnings -- Record Revenue $3.62B (+37% YoY), EPS $1.70 (+115%), Multi-Year AI Infrastructure Opportunity, FY2027 'Brisk Growth Year' -- TIKR, Yahoo Finance, StockAnalysis, February-August 2026</w:t>
      </w:r>
    </w:p>
    <w:p>
      <w:pPr>
        <w:spacing w:before="20" w:after="20"/>
        <w:ind w:left="170"/>
      </w:pPr>
      <w:r>
        <w:rPr>
          <w:rFonts w:ascii="Calibri" w:hAnsi="Calibri"/>
          <w:b/>
          <w:color w:val="4A6B25"/>
          <w:sz w:val="15"/>
        </w:rPr>
        <w:t xml:space="preserve">2. </w:t>
      </w:r>
      <w:r>
        <w:rPr>
          <w:rFonts w:ascii="Calibri" w:hAnsi="Calibri"/>
          <w:b w:val="0"/>
          <w:color w:val="3A4A28"/>
          <w:sz w:val="17"/>
        </w:rPr>
        <w:t>Analog Devices CEO Vincent Roche Leadership, Acquisition Strategy, Innovation Culture -- Analog Devices Investor Relations, LinkedIn, SIA, 2013-2026</w:t>
      </w:r>
    </w:p>
    <w:p>
      <w:pPr>
        <w:spacing w:before="20" w:after="20"/>
        <w:ind w:left="170"/>
      </w:pPr>
      <w:r>
        <w:rPr>
          <w:rFonts w:ascii="Calibri" w:hAnsi="Calibri"/>
          <w:b/>
          <w:color w:val="4A6B25"/>
          <w:sz w:val="15"/>
        </w:rPr>
        <w:t xml:space="preserve">3. </w:t>
      </w:r>
      <w:r>
        <w:rPr>
          <w:rFonts w:ascii="Calibri" w:hAnsi="Calibri"/>
          <w:b w:val="0"/>
          <w:color w:val="3A4A28"/>
          <w:sz w:val="17"/>
        </w:rPr>
        <w:t>Analog Devices ESG Performance -- 2025 ESG Report, MSCI BBB Rating, 100% Renewable Energy Target, 50% GHG Reduction by 2030 -- KnowESG, Analog.com, June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ADI Key Statistics: Forward P/E 23.43, ROE 12.23%, D/E 27%, Profit Margin 26%, Dividend Yield 1.19%, 22 Consecutive Years Growth,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