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ADMA</w:t>
      </w:r>
      <w:r>
        <w:rPr>
          <w:rFonts w:ascii="Calibri" w:hAnsi="Calibri"/>
          <w:b/>
          <w:color w:val="1A2010"/>
          <w:sz w:val="40"/>
        </w:rPr>
        <w:t xml:space="preserve">  ADMA Biologics, Inc.</w:t>
      </w:r>
    </w:p>
    <w:p>
      <w:pPr>
        <w:spacing w:after="120"/>
      </w:pPr>
      <w:r>
        <w:rPr>
          <w:rFonts w:ascii="Calibri" w:hAnsi="Calibri"/>
          <w:b/>
          <w:color w:val="6E8450"/>
          <w:sz w:val="18"/>
        </w:rPr>
        <w:t>GROWTH SLEEVE · 2026-09-04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ADMA Biologics is a commercial-stage biopharmaceutical company manufacturing, marketing, and developing specialty plasma-derived biologics for immunodeficient patients. Flagship products ASCENIV and BIVIGAM are intravenous immunoglobulin (IVIG) therapies for primary humoral immunodeficiency, and Nabi-HB treats acute hepatitis B exposure. The company operates plasma collection centers and a manufacturing facility in Boca Raton, Florida. Q2 2026 revenue was $124.4M with ASCENIV growing 24% YoY to $102.9M. FY2026 guidance reiterated at $530-560M revenue and $170-200M adjusted net income. Market cap approximately $2.15B.</w:t>
      </w:r>
    </w:p>
    <w:p>
      <w:r>
        <w:rPr>
          <w:rFonts w:ascii="Calibri" w:hAnsi="Calibri"/>
          <w:b/>
          <w:color w:val="6E8450"/>
          <w:sz w:val="18"/>
        </w:rPr>
        <w:t>679 Employees · https://www.admabiologics.com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ADMA has executed a remarkable transformation from cash-burning developmental biotech to highly profitable commercial manufacturer, growing revenue from $42M in 2020 to $510M in 2025 — a 12x increase powered by ASCENIV commercialization and yield-enhancement manufacturing technology that drove gross margins to 69-71% in H1 2026 [1][2]. AI Deployment (1/2): ADMA developed ADMAlytics, a proprietary AI-driven platform that automates and optimizes plasma pooling, reducing manufacturing variability. The company produced its first ASCENIV batch using ADMAlytics in February 2024, demonstrating tangible operational AI adoption [3]. Market Share (1/2): ASCENIV revenue grew 24% YoY to $102.9M in Q2 2026, gaining meaningful share in the $8B+ U.S. immunoglobulin market with differentiated clinical outcomes data showing statistically significant reductions in infection-related hospitalizations [1]. However, ADMA remains a niche player behind CSL Behring, Grifols, and Takeda, and Culper Research challenged real growth sustainability [5]. Product Pipeline (1/2): SG-001 anti-pneumococcal hyperimmune globulin development on track for pre-IND submission by year-end 2026, plus expanded ASCENIV indications supported by real-world evidence [1]. Specific but early-stage with limited revenue visibility. R&amp;D Intensity (0/1): R&amp;D spending of $6.0M in Q2 2026 on $124.4M revenue represents only 4.8% intensity, well below the pharmaceutical industry average of 15-20%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ADMA's purpose of providing life-saving immunoglobulin therapies for immunodeficient patients identifies what the company does and for whom. Founder-CEO Adam Grossman spent 20+ years building this company from concept, suggesting genuine commitment to the patient population [3]. However, the mission statement itself is standard for specialty pharmaceutical companies and does not articulate a deeper purpose or inspire beyond the obvious treatment-of-disease framework. Community Impact (0/2): No evidence of distinctive charitable programs, foundation activity, or community investment beyond core commercial operations. Plasma collection centers serve a commercial function, not philanthropic purpose [3]. Employee Retention (0/2): Glassdoor rating of 2.8/5 based on 96 reviews with deeply concerning culture feedback. Multiple employees describe 'toxic work culture full of bullies and unprofessional behavior starting from the top down,' with the CEO described as 'prone to outbursts, a complete control freak' who 'screams and yells at employees so loud that the entire building can hear' [4]. This evidence indicates a fear-based environment with likely elevated turnover. Insider Buying (0/2): No evidence of meaningful open-market insider buying by CEO Grossman or other executives. The $200M+ share buyback program is corporate capital allocation, not personal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Growth metrics — every available metric scores at or near maximum. D/E of 50% is well below the 70% target with $136M cash and $196.6M debt against $408.2M stockholders' equity [1]. ROE of 41.90% far exceeds the 15% target (2x weight), demonstrating exceptional capital efficiency from the ASCENIV margin profile [6]. Profit margin of 32.98% is well above the 20% threshold, supported by 69% gross margins in Q2 2026 [1]. Revenue growth YoY estimated at ~14% TTM and 5-year revenue CAGR of ~65% (from $42M in 2020 to $510M in 2025) both far exceed targets [2][6]. Forward P/E of 10.76 is deeply below the 20 target, and Forward PEG of 0.36 is well below the 1.0 target (2x weight), reflecting deep value pricing amid Culper Research controversy [5][6]. The $200M+ share buyback funded entirely by operating cash flow confirms real cash generation. Liquidity cleared: 1.91M avg volume x $9.58 = $18.3M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ADMA demonstrates a finite game profile despite CEO Adam Grossman's 20+ year persistence in building a plasma biologics company from concept to $510M revenue. The Glassdoor-documented toxic culture — CEO outbursts, fear-based management, and employee complaints of bullying — fundamentally undermines the trusting teams foundation that Sinek considers essential for infinite game organizations [4]. The Culper Research channel-stuffing allegations and resulting class action lawsuit raise additional questions about whether growth decisions prioritized short-term revenue appearances over long-term integrity [5]. While the patient-focused cause is genuine, it is undermined by the organizational culture in which it operates.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ADMA has a genuine cause — providing life-saving immunoglobulin therapies to immunodeficient patients who have limited treatment options. Founder-CEO Grossman has pursued this cause for over 20 years, enduring years of losses before reaching profitability in 2024 [3]. The focus on underserved patients with serious immune deficiencies connects the company's work to something larger than revenue growth. However, the cause has not been tested through a leadership transition, and the toxic culture documented on Glassdoor suggests the cause may not permeate the organization beyond the CEO's personal vision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2.8/5 across 96 reviews reveals a deeply low-trust environment [4]. Multiple employees describe a toxic culture with CEO outbursts, screaming, and fear-based management. Reviews cite 'bullies and unprofessional behavior starting from the top down' and a CEO who is 'a complete control freak.' This is antithetical to Sinek's Circle of Safety — employees spend energy protecting themselves from leadership rather than advancing the mission. The 679-person organization likely experiences elevated voluntary turnover driven by leadership-level dysfunction.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of ADMA's management acknowledging CSL Behring, Grifols, or Takeda as worthy rivals whose strengths inform self-improvement. Competitive positioning focuses on ASCENIV's differentiated clinical outcomes and ADMA's niche superiority rather than language oriented toward learning from larger competitors' capabilities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ADMA's evolution from a development-stage company dependent on licensing revenue to a vertically integrated manufacturer of proprietary IVIG products represents meaningful strategic evolution [1]. The 2025 divestiture of three plasma collection centers while retaining seven demonstrates willingness to optimize the portfolio. However, the core business model of plasma-derived biologics has remained constant since founding — these are incremental adaptations and scaling of the original vision, not transformative pivots that abandoned what was working.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Adam Grossman spent nearly two decades building ADMA through years of losses, regulatory setbacks, and capital market skepticism — demonstrating personal commitment to the long-term vision [3]. The investment in yield-enhancement technology during financial vulnerability showed willingness to prioritize future capability over near-term profitability. However, the Culper Research allegations of channel stuffing and the resulting securities class action raise questions about whether recent growth decisions prioritized short-term revenue appearances over long-term integrity [5]. The aggressive $200M+ buyback program during an active fraud investigation could be interpreted as confidence or as short-term stock price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ADMA Biologics at 10.76x forward earnings offers a deeply discounted entry into a profitable specialty pharma compounder with exceptional fundamentals — 41.9% ROE, 33% profit margin, 69% gross margins, and PEG of 0.36 [6]. ASCENIV continues to gain share in the $8B+ U.S. immunoglobulin market with Q2 2026 revenue of $102.9M (+24% YoY), supported by real-world evidence showing statistically significant reductions in infection-related hospitalizations [1]. FY2026 guidance of $530-560M revenue and $170-200M adjusted net income implies continued profitable growth. The $200M+ share buyback program (13.8M shares repurchased YTD, 5.3% of outstanding) funded entirely by operating cash flow demonstrates genuine cash generation quality. The 5-year revenue transformation from $42M to $510M and 65% CAGR reflects a rare biotech commercialization success story [2].</w:t>
      </w:r>
    </w:p>
    <w:p>
      <w:pPr>
        <w:spacing w:after="120"/>
      </w:pPr>
      <w:r>
        <w:rPr>
          <w:rFonts w:ascii="Calibri" w:hAnsi="Calibri"/>
          <w:b w:val="0"/>
          <w:color w:val="3A4A28"/>
          <w:sz w:val="20"/>
        </w:rPr>
        <w:t>The bear case is substantial and explains the 44% stock decline over the trailing 12 months. In March 2026, Culper Research published a short report alleging channel stuffing, an undisclosed related-party distributor, and -3% real growth in 2025, triggering a sharp stock decline and securities fraud class action lawsuit [5]. ADMA refuted the allegations and reiterated guidance, but the legal overhang remains unresolved. BIVIGAM revenue declined 49% YoY to $19.4M in Q2 2026, demonstrating product-line fragility and increasing dependence on a single product (ASCENIV, 83% of Q2 revenue) [1]. H1 2026 total revenue grew only 0.9% YoY despite strong ASCENIV momentum, raising questions about the sustainability of the growth narrative. Glassdoor reviews (2.8/5) describe a toxic work culture with CEO outbursts and fear-based management, creating human capital risk and leadership succession vulnerability in a founder-dependent organization [4]. The Infinite Game score of 4/10 (FINITE) reflects serious cultural deficiencies that could constrain long-term value creation despite excellent financial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ASCENIV revenue growing 24% YoY in Q2 2026 to $102.9M with accelerating demand — June 2026 showed strongest sequential month-over-month utilization growth since H1 2024, suggesting momentum heading into H2 2026 [1]</w:t>
      </w:r>
    </w:p>
    <w:p>
      <w:pPr>
        <w:spacing w:before="40" w:after="40"/>
        <w:ind w:left="283"/>
      </w:pPr>
      <w:r>
        <w:rPr>
          <w:rFonts w:ascii="Calibri" w:hAnsi="Calibri"/>
          <w:b/>
          <w:color w:val="4A6B25"/>
          <w:sz w:val="20"/>
        </w:rPr>
        <w:t xml:space="preserve">2. </w:t>
      </w:r>
      <w:r>
        <w:rPr>
          <w:rFonts w:ascii="Calibri" w:hAnsi="Calibri"/>
          <w:b w:val="0"/>
          <w:color w:val="3A4A28"/>
          <w:sz w:val="20"/>
        </w:rPr>
        <w:t>Deep value opportunity at 10.76x forward earnings and 0.36 PEG with $170-200M guided adjusted net income — resolution of Culper Research allegations could trigger significant re-rating from current depressed levels [5][6]</w:t>
      </w:r>
    </w:p>
    <w:p>
      <w:pPr>
        <w:spacing w:before="40" w:after="40"/>
        <w:ind w:left="283"/>
      </w:pPr>
      <w:r>
        <w:rPr>
          <w:rFonts w:ascii="Calibri" w:hAnsi="Calibri"/>
          <w:b/>
          <w:color w:val="4A6B25"/>
          <w:sz w:val="20"/>
        </w:rPr>
        <w:t xml:space="preserve">3. </w:t>
      </w:r>
      <w:r>
        <w:rPr>
          <w:rFonts w:ascii="Calibri" w:hAnsi="Calibri"/>
          <w:b w:val="0"/>
          <w:color w:val="3A4A28"/>
          <w:sz w:val="20"/>
        </w:rPr>
        <w:t>Real-world evidence study submitted to ACAAI showing statistically significant reductions in infection-related hospitalizations for ASCENIV patients, potentially expanding addressable market and supporting payer negotiations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alleging channel stuffing and undisclosed related-party distributor covering August 2024 through March 2026 — if proven, could result in material financial penalties, management changes, and permanent investor confidence destruction [5]</w:t>
      </w:r>
    </w:p>
    <w:p>
      <w:pPr>
        <w:spacing w:before="40" w:after="40"/>
        <w:ind w:left="283"/>
      </w:pPr>
      <w:r>
        <w:rPr>
          <w:rFonts w:ascii="Calibri" w:hAnsi="Calibri"/>
          <w:b/>
          <w:color w:val="4A6B25"/>
          <w:sz w:val="20"/>
        </w:rPr>
        <w:t xml:space="preserve">2. </w:t>
      </w:r>
      <w:r>
        <w:rPr>
          <w:rFonts w:ascii="Calibri" w:hAnsi="Calibri"/>
          <w:b w:val="0"/>
          <w:color w:val="3A4A28"/>
          <w:sz w:val="20"/>
        </w:rPr>
        <w:t>Toxic workplace culture documented across 96 Glassdoor reviews (2.8/5) with CEO outbursts and fear-based management — creates human capital risk, potential regulatory scrutiny, and critical leadership succession vulnerability in a founder-dependent organization [4]</w:t>
      </w:r>
    </w:p>
    <w:p>
      <w:pPr>
        <w:spacing w:before="40" w:after="40"/>
        <w:ind w:left="283"/>
      </w:pPr>
      <w:r>
        <w:rPr>
          <w:rFonts w:ascii="Calibri" w:hAnsi="Calibri"/>
          <w:b/>
          <w:color w:val="4A6B25"/>
          <w:sz w:val="20"/>
        </w:rPr>
        <w:t xml:space="preserve">3. </w:t>
      </w:r>
      <w:r>
        <w:rPr>
          <w:rFonts w:ascii="Calibri" w:hAnsi="Calibri"/>
          <w:b w:val="0"/>
          <w:color w:val="3A4A28"/>
          <w:sz w:val="20"/>
        </w:rPr>
        <w:t>Product concentration risk intensifying with BIVIGAM revenue declining 49% YoY to $19.4M while ASCENIV represents 83% of Q2 2026 revenue — substantially all value depends on one product in one therapeutic area, with SG-001 pipeline still at pre-IND stage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Plasma-derived biologics manufacturing is a physical-world operation that AI structurally cannot displace. Collecting human plasma from donors, fractionating it into immunoglobulin products through complex biochemical processes, and navigating FDA regulatory requirements for biologics involve deeply regulated, capital-intensive processes with multi-year barriers to entry [3]. The immunoglobulin market faces chronic supply constraints — AI cannot manufacture human plasma. ASCENIV is differentiated by clinical outcomes data in actual patients (statistically significant reductions in infection-related hospitalizations), not by information processing that AI could replicate [1]. The primary competitive threats are other plasma fractionators (CSL Behring, Grifols, Takeda), not AI tools. AI may even increase demand for specialty biologics as healthcare systems expand. AI Opportunity (0/1): ADMAlytics is an internal operational AI tool for manufacturing optimization, not a customer-facing AI product generating revenue. No AI-related revenue is separately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ADMA Biologics Q2 2026 Earnings — Revenue $124.4M (+2% YoY), ASCENIV $102.9M (+24%), BIVIGAM $19.4M (-49%), GAAP Net Income $37.8M, Gross Margin 69%, FY2026 Guidance Reiterated $530-560M, August 2026</w:t>
      </w:r>
    </w:p>
    <w:p>
      <w:pPr>
        <w:spacing w:before="20" w:after="20"/>
        <w:ind w:left="170"/>
      </w:pPr>
      <w:r>
        <w:rPr>
          <w:rFonts w:ascii="Calibri" w:hAnsi="Calibri"/>
          <w:b/>
          <w:color w:val="4A6B25"/>
          <w:sz w:val="15"/>
        </w:rPr>
        <w:t xml:space="preserve">2. </w:t>
      </w:r>
      <w:r>
        <w:rPr>
          <w:rFonts w:ascii="Calibri" w:hAnsi="Calibri"/>
          <w:b w:val="0"/>
          <w:color w:val="3A4A28"/>
          <w:sz w:val="17"/>
        </w:rPr>
        <w:t>ADMA Biologics Annual Revenue History — $42M (2020) to $426M (2024) to ~$510M (2025), 5yr CAGR ~65%, WallStreetZen/StockAnalysis</w:t>
      </w:r>
    </w:p>
    <w:p>
      <w:pPr>
        <w:spacing w:before="20" w:after="20"/>
        <w:ind w:left="170"/>
      </w:pPr>
      <w:r>
        <w:rPr>
          <w:rFonts w:ascii="Calibri" w:hAnsi="Calibri"/>
          <w:b/>
          <w:color w:val="4A6B25"/>
          <w:sz w:val="15"/>
        </w:rPr>
        <w:t xml:space="preserve">3. </w:t>
      </w:r>
      <w:r>
        <w:rPr>
          <w:rFonts w:ascii="Calibri" w:hAnsi="Calibri"/>
          <w:b w:val="0"/>
          <w:color w:val="3A4A28"/>
          <w:sz w:val="17"/>
        </w:rPr>
        <w:t>ADMA Biologics Corporate Website — Senior Leadership Team (CEO Adam Grossman, founder since 2004), ADMAlytics AI Platform, Mission and Product Portfolio,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ADMA Biologics Employee Reviews: Overall 2.8/5, Culture 3.1/5, 96 Reviews, CEO described as 'prone to outbursts' and 'control freak',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Culper Research Short Report and Class Action — Channel Stuffing Allegations, Undisclosed Related-Party Distributor, Securities Fraud Lawsuit Filed March 2026; ADMA Refutation Statement March 27,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ADMA Key Statistics: Stock Price $9.58, Forward PE 10.76, PEG 0.36, ROE 41.9%, Profit Margin 33%, D/E 0.50, Avg Volume 1.91M,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